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46" w:rsidRDefault="00292F46" w:rsidP="00F271A3">
      <w:pPr>
        <w:rPr>
          <w:rFonts w:ascii="Arial" w:hAnsi="Arial" w:cs="Arial"/>
          <w:b/>
          <w:bCs/>
          <w:sz w:val="20"/>
          <w:szCs w:val="20"/>
          <w:lang w:eastAsia="en-GB"/>
        </w:rPr>
      </w:pPr>
    </w:p>
    <w:p w:rsidR="00F271A3" w:rsidRPr="00F271A3" w:rsidRDefault="00367AFF" w:rsidP="00F271A3">
      <w:pPr>
        <w:rPr>
          <w:rFonts w:ascii="Arial" w:hAnsi="Arial" w:cs="Arial"/>
          <w:b/>
          <w:bCs/>
          <w:sz w:val="20"/>
          <w:szCs w:val="20"/>
          <w:lang w:eastAsia="en-GB"/>
        </w:rPr>
      </w:pPr>
      <w:bookmarkStart w:id="0" w:name="_GoBack"/>
      <w:bookmarkEnd w:id="0"/>
      <w:r>
        <w:rPr>
          <w:rFonts w:ascii="Arial" w:hAnsi="Arial" w:cs="Arial"/>
          <w:b/>
          <w:bCs/>
          <w:sz w:val="20"/>
          <w:szCs w:val="20"/>
          <w:lang w:eastAsia="en-GB"/>
        </w:rPr>
        <w:t>9</w:t>
      </w:r>
      <w:r w:rsidR="00F271A3">
        <w:rPr>
          <w:rFonts w:ascii="Arial" w:hAnsi="Arial" w:cs="Arial"/>
          <w:b/>
          <w:bCs/>
          <w:sz w:val="20"/>
          <w:szCs w:val="20"/>
          <w:lang w:eastAsia="en-GB"/>
        </w:rPr>
        <w:t xml:space="preserve">th </w:t>
      </w:r>
      <w:r>
        <w:rPr>
          <w:rFonts w:ascii="Arial" w:hAnsi="Arial" w:cs="Arial"/>
          <w:b/>
          <w:bCs/>
          <w:sz w:val="20"/>
          <w:szCs w:val="20"/>
          <w:lang w:eastAsia="en-GB"/>
        </w:rPr>
        <w:t>June 2014</w:t>
      </w:r>
    </w:p>
    <w:p w:rsidR="00F271A3" w:rsidRPr="00AE1CFF" w:rsidRDefault="00F271A3" w:rsidP="00F271A3">
      <w:pPr>
        <w:jc w:val="center"/>
        <w:rPr>
          <w:rFonts w:ascii="Arial" w:hAnsi="Arial" w:cs="Arial"/>
          <w:b/>
          <w:sz w:val="20"/>
          <w:szCs w:val="20"/>
        </w:rPr>
      </w:pPr>
      <w:r w:rsidRPr="00AE1CFF">
        <w:rPr>
          <w:rFonts w:ascii="Arial" w:hAnsi="Arial" w:cs="Arial"/>
          <w:b/>
          <w:sz w:val="20"/>
          <w:szCs w:val="20"/>
        </w:rPr>
        <w:t>Falkland Islands Holdings plc</w:t>
      </w:r>
    </w:p>
    <w:p w:rsidR="00F271A3" w:rsidRPr="00AE1CFF" w:rsidRDefault="00F271A3" w:rsidP="00F271A3">
      <w:pPr>
        <w:jc w:val="center"/>
        <w:rPr>
          <w:rFonts w:ascii="Arial" w:hAnsi="Arial" w:cs="Arial"/>
          <w:b/>
          <w:sz w:val="20"/>
          <w:szCs w:val="20"/>
        </w:rPr>
      </w:pPr>
      <w:r w:rsidRPr="00AE1CFF">
        <w:rPr>
          <w:rFonts w:ascii="Arial" w:hAnsi="Arial" w:cs="Arial"/>
          <w:b/>
          <w:sz w:val="20"/>
          <w:szCs w:val="20"/>
        </w:rPr>
        <w:t xml:space="preserve"> (“FIH” or the “Group”)</w:t>
      </w:r>
    </w:p>
    <w:p w:rsidR="00F271A3" w:rsidRPr="00F271A3" w:rsidRDefault="00BA0B5D" w:rsidP="00F271A3">
      <w:pPr>
        <w:jc w:val="center"/>
        <w:rPr>
          <w:rFonts w:ascii="Arial" w:hAnsi="Arial" w:cs="Arial"/>
          <w:b/>
          <w:sz w:val="20"/>
          <w:szCs w:val="20"/>
        </w:rPr>
      </w:pPr>
      <w:r>
        <w:rPr>
          <w:rFonts w:ascii="Arial" w:hAnsi="Arial" w:cs="Arial"/>
          <w:b/>
          <w:sz w:val="20"/>
          <w:szCs w:val="20"/>
        </w:rPr>
        <w:t>Final</w:t>
      </w:r>
      <w:r w:rsidR="00F271A3">
        <w:rPr>
          <w:rFonts w:ascii="Arial" w:hAnsi="Arial" w:cs="Arial"/>
          <w:b/>
          <w:sz w:val="20"/>
          <w:szCs w:val="20"/>
        </w:rPr>
        <w:t xml:space="preserve"> r</w:t>
      </w:r>
      <w:r w:rsidR="00F271A3" w:rsidRPr="00AE1CFF">
        <w:rPr>
          <w:rFonts w:ascii="Arial" w:hAnsi="Arial" w:cs="Arial"/>
          <w:b/>
          <w:sz w:val="20"/>
          <w:szCs w:val="20"/>
        </w:rPr>
        <w:t xml:space="preserve">esults </w:t>
      </w:r>
      <w:r w:rsidR="005F358C">
        <w:rPr>
          <w:rFonts w:ascii="Arial" w:hAnsi="Arial" w:cs="Arial"/>
          <w:b/>
          <w:sz w:val="20"/>
          <w:szCs w:val="20"/>
        </w:rPr>
        <w:t>for the year ended 31 March 2014</w:t>
      </w:r>
    </w:p>
    <w:p w:rsidR="00F271A3" w:rsidRPr="00AE1CFF" w:rsidRDefault="00F271A3" w:rsidP="00F271A3">
      <w:pPr>
        <w:jc w:val="both"/>
        <w:rPr>
          <w:rFonts w:ascii="Arial" w:hAnsi="Arial" w:cs="Arial"/>
          <w:sz w:val="20"/>
          <w:szCs w:val="20"/>
        </w:rPr>
      </w:pPr>
      <w:r w:rsidRPr="00AE1CFF">
        <w:rPr>
          <w:rFonts w:ascii="Arial" w:hAnsi="Arial" w:cs="Arial"/>
          <w:bCs/>
          <w:sz w:val="20"/>
          <w:szCs w:val="20"/>
        </w:rPr>
        <w:t xml:space="preserve">FIH, the AIM quoted </w:t>
      </w:r>
      <w:r w:rsidRPr="00AE1CFF">
        <w:rPr>
          <w:rFonts w:ascii="Arial" w:hAnsi="Arial" w:cs="Arial"/>
          <w:sz w:val="20"/>
          <w:szCs w:val="20"/>
        </w:rPr>
        <w:t xml:space="preserve">international services group that owns essential services businesses </w:t>
      </w:r>
      <w:r>
        <w:rPr>
          <w:rFonts w:ascii="Arial" w:hAnsi="Arial" w:cs="Arial"/>
          <w:sz w:val="20"/>
          <w:szCs w:val="20"/>
        </w:rPr>
        <w:t>in the Falkland Islands and the UK</w:t>
      </w:r>
      <w:bookmarkStart w:id="1" w:name="_DV_M19"/>
      <w:bookmarkStart w:id="2" w:name="_DV_M20"/>
      <w:bookmarkStart w:id="3" w:name="_DV_M21"/>
      <w:bookmarkEnd w:id="1"/>
      <w:bookmarkEnd w:id="2"/>
      <w:bookmarkEnd w:id="3"/>
      <w:r w:rsidRPr="00AE1CFF">
        <w:rPr>
          <w:rFonts w:ascii="Arial" w:hAnsi="Arial" w:cs="Arial"/>
          <w:sz w:val="20"/>
          <w:szCs w:val="20"/>
        </w:rPr>
        <w:t xml:space="preserve">, is pleased to announce </w:t>
      </w:r>
      <w:r>
        <w:rPr>
          <w:rFonts w:ascii="Arial" w:hAnsi="Arial" w:cs="Arial"/>
          <w:sz w:val="20"/>
          <w:szCs w:val="20"/>
        </w:rPr>
        <w:t xml:space="preserve">its </w:t>
      </w:r>
      <w:r w:rsidR="00244073">
        <w:rPr>
          <w:rFonts w:ascii="Arial" w:hAnsi="Arial" w:cs="Arial"/>
          <w:sz w:val="20"/>
          <w:szCs w:val="20"/>
        </w:rPr>
        <w:t>Final</w:t>
      </w:r>
      <w:r w:rsidRPr="00AE1CFF">
        <w:rPr>
          <w:rFonts w:ascii="Arial" w:hAnsi="Arial" w:cs="Arial"/>
          <w:sz w:val="20"/>
          <w:szCs w:val="20"/>
        </w:rPr>
        <w:t xml:space="preserve"> results </w:t>
      </w:r>
      <w:r w:rsidR="005F358C">
        <w:rPr>
          <w:rFonts w:ascii="Arial" w:hAnsi="Arial" w:cs="Arial"/>
          <w:sz w:val="20"/>
          <w:szCs w:val="20"/>
        </w:rPr>
        <w:t>for the year ended 31 March 2014</w:t>
      </w:r>
      <w:r w:rsidRPr="00AE1CFF">
        <w:rPr>
          <w:rFonts w:ascii="Arial" w:hAnsi="Arial" w:cs="Arial"/>
          <w:sz w:val="20"/>
          <w:szCs w:val="20"/>
        </w:rPr>
        <w:t xml:space="preserve">. </w:t>
      </w:r>
    </w:p>
    <w:p w:rsidR="00F271A3" w:rsidRPr="005A6B31" w:rsidRDefault="00F271A3" w:rsidP="00F271A3">
      <w:pPr>
        <w:jc w:val="both"/>
        <w:rPr>
          <w:rFonts w:ascii="Arial" w:hAnsi="Arial" w:cs="Arial"/>
          <w:b/>
          <w:sz w:val="20"/>
          <w:szCs w:val="20"/>
        </w:rPr>
      </w:pPr>
      <w:r w:rsidRPr="005A6B31">
        <w:rPr>
          <w:rFonts w:ascii="Arial" w:hAnsi="Arial" w:cs="Arial"/>
          <w:b/>
          <w:sz w:val="20"/>
          <w:szCs w:val="20"/>
        </w:rPr>
        <w:t>Group Financial Highlights</w:t>
      </w:r>
    </w:p>
    <w:p w:rsidR="00F271A3" w:rsidRPr="003838DC" w:rsidRDefault="00F271A3" w:rsidP="00F271A3">
      <w:pPr>
        <w:numPr>
          <w:ilvl w:val="0"/>
          <w:numId w:val="16"/>
        </w:numPr>
        <w:spacing w:after="0" w:line="240" w:lineRule="auto"/>
        <w:jc w:val="both"/>
        <w:outlineLvl w:val="0"/>
        <w:rPr>
          <w:rFonts w:ascii="Arial" w:hAnsi="Arial" w:cs="Arial"/>
          <w:iCs/>
          <w:sz w:val="20"/>
          <w:szCs w:val="20"/>
        </w:rPr>
      </w:pPr>
      <w:r w:rsidRPr="003838DC">
        <w:rPr>
          <w:rFonts w:ascii="Arial" w:hAnsi="Arial" w:cs="Arial"/>
          <w:iCs/>
          <w:sz w:val="20"/>
          <w:szCs w:val="20"/>
        </w:rPr>
        <w:t xml:space="preserve">Group revenue increased by </w:t>
      </w:r>
      <w:r w:rsidR="00726BF5" w:rsidRPr="003838DC">
        <w:rPr>
          <w:rFonts w:ascii="Arial" w:hAnsi="Arial" w:cs="Arial"/>
          <w:iCs/>
          <w:sz w:val="20"/>
          <w:szCs w:val="20"/>
        </w:rPr>
        <w:t>7.5</w:t>
      </w:r>
      <w:r w:rsidRPr="003838DC">
        <w:rPr>
          <w:rFonts w:ascii="Arial" w:hAnsi="Arial" w:cs="Arial"/>
          <w:iCs/>
          <w:sz w:val="20"/>
          <w:szCs w:val="20"/>
        </w:rPr>
        <w:t>% to £3</w:t>
      </w:r>
      <w:r w:rsidR="00726BF5" w:rsidRPr="003838DC">
        <w:rPr>
          <w:rFonts w:ascii="Arial" w:hAnsi="Arial" w:cs="Arial"/>
          <w:iCs/>
          <w:sz w:val="20"/>
          <w:szCs w:val="20"/>
        </w:rPr>
        <w:t>8</w:t>
      </w:r>
      <w:r w:rsidRPr="003838DC">
        <w:rPr>
          <w:rFonts w:ascii="Arial" w:hAnsi="Arial" w:cs="Arial"/>
          <w:iCs/>
          <w:sz w:val="20"/>
          <w:szCs w:val="20"/>
        </w:rPr>
        <w:t>.</w:t>
      </w:r>
      <w:r w:rsidR="00726BF5" w:rsidRPr="003838DC">
        <w:rPr>
          <w:rFonts w:ascii="Arial" w:hAnsi="Arial" w:cs="Arial"/>
          <w:iCs/>
          <w:sz w:val="20"/>
          <w:szCs w:val="20"/>
        </w:rPr>
        <w:t>3</w:t>
      </w:r>
      <w:r w:rsidRPr="003838DC">
        <w:rPr>
          <w:rFonts w:ascii="Arial" w:hAnsi="Arial" w:cs="Arial"/>
          <w:iCs/>
          <w:sz w:val="20"/>
          <w:szCs w:val="20"/>
        </w:rPr>
        <w:t xml:space="preserve"> million (201</w:t>
      </w:r>
      <w:r w:rsidR="00726BF5" w:rsidRPr="003838DC">
        <w:rPr>
          <w:rFonts w:ascii="Arial" w:hAnsi="Arial" w:cs="Arial"/>
          <w:iCs/>
          <w:sz w:val="20"/>
          <w:szCs w:val="20"/>
        </w:rPr>
        <w:t>3</w:t>
      </w:r>
      <w:r w:rsidRPr="003838DC">
        <w:rPr>
          <w:rFonts w:ascii="Arial" w:hAnsi="Arial" w:cs="Arial"/>
          <w:iCs/>
          <w:sz w:val="20"/>
          <w:szCs w:val="20"/>
        </w:rPr>
        <w:t>: £3</w:t>
      </w:r>
      <w:r w:rsidR="00726BF5" w:rsidRPr="003838DC">
        <w:rPr>
          <w:rFonts w:ascii="Arial" w:hAnsi="Arial" w:cs="Arial"/>
          <w:iCs/>
          <w:sz w:val="20"/>
          <w:szCs w:val="20"/>
        </w:rPr>
        <w:t>5</w:t>
      </w:r>
      <w:r w:rsidRPr="003838DC">
        <w:rPr>
          <w:rFonts w:ascii="Arial" w:hAnsi="Arial" w:cs="Arial"/>
          <w:iCs/>
          <w:sz w:val="20"/>
          <w:szCs w:val="20"/>
        </w:rPr>
        <w:t>.</w:t>
      </w:r>
      <w:r w:rsidR="00726BF5" w:rsidRPr="003838DC">
        <w:rPr>
          <w:rFonts w:ascii="Arial" w:hAnsi="Arial" w:cs="Arial"/>
          <w:iCs/>
          <w:sz w:val="20"/>
          <w:szCs w:val="20"/>
        </w:rPr>
        <w:t>6</w:t>
      </w:r>
      <w:r w:rsidR="00ED0F42" w:rsidRPr="005A6B31">
        <w:rPr>
          <w:rFonts w:ascii="Arial" w:hAnsi="Arial" w:cs="Arial"/>
          <w:iCs/>
          <w:sz w:val="20"/>
          <w:szCs w:val="20"/>
        </w:rPr>
        <w:t xml:space="preserve"> </w:t>
      </w:r>
      <w:r w:rsidRPr="003838DC">
        <w:rPr>
          <w:rFonts w:ascii="Arial" w:hAnsi="Arial" w:cs="Arial"/>
          <w:iCs/>
          <w:sz w:val="20"/>
          <w:szCs w:val="20"/>
        </w:rPr>
        <w:t>million)</w:t>
      </w:r>
    </w:p>
    <w:p w:rsidR="00F271A3" w:rsidRPr="005A6B31" w:rsidRDefault="00F271A3" w:rsidP="003838DC">
      <w:pPr>
        <w:numPr>
          <w:ilvl w:val="0"/>
          <w:numId w:val="16"/>
        </w:numPr>
        <w:spacing w:after="0" w:line="240" w:lineRule="auto"/>
        <w:jc w:val="both"/>
        <w:outlineLvl w:val="0"/>
        <w:rPr>
          <w:rFonts w:ascii="Arial" w:hAnsi="Arial" w:cs="Arial"/>
          <w:sz w:val="20"/>
          <w:szCs w:val="20"/>
        </w:rPr>
      </w:pPr>
      <w:r w:rsidRPr="003838DC">
        <w:rPr>
          <w:rFonts w:ascii="Arial" w:hAnsi="Arial" w:cs="Arial"/>
          <w:iCs/>
          <w:sz w:val="20"/>
          <w:szCs w:val="20"/>
        </w:rPr>
        <w:t>Underlying</w:t>
      </w:r>
      <w:r w:rsidRPr="003838DC">
        <w:rPr>
          <w:rFonts w:ascii="Arial" w:hAnsi="Arial" w:cs="Arial"/>
          <w:sz w:val="20"/>
          <w:szCs w:val="20"/>
        </w:rPr>
        <w:t xml:space="preserve"> pre-tax profits increased 1</w:t>
      </w:r>
      <w:r w:rsidR="00726BF5" w:rsidRPr="003838DC">
        <w:rPr>
          <w:rFonts w:ascii="Arial" w:hAnsi="Arial" w:cs="Arial"/>
          <w:sz w:val="20"/>
          <w:szCs w:val="20"/>
        </w:rPr>
        <w:t>0.8</w:t>
      </w:r>
      <w:r w:rsidRPr="003838DC">
        <w:rPr>
          <w:rFonts w:ascii="Arial" w:hAnsi="Arial" w:cs="Arial"/>
          <w:sz w:val="20"/>
          <w:szCs w:val="20"/>
        </w:rPr>
        <w:t>% to £3.</w:t>
      </w:r>
      <w:r w:rsidR="00726BF5" w:rsidRPr="003838DC">
        <w:rPr>
          <w:rFonts w:ascii="Arial" w:hAnsi="Arial" w:cs="Arial"/>
          <w:sz w:val="20"/>
          <w:szCs w:val="20"/>
        </w:rPr>
        <w:t>65</w:t>
      </w:r>
      <w:r w:rsidRPr="003838DC">
        <w:rPr>
          <w:rFonts w:ascii="Arial" w:hAnsi="Arial" w:cs="Arial"/>
          <w:sz w:val="20"/>
          <w:szCs w:val="20"/>
        </w:rPr>
        <w:t xml:space="preserve"> million </w:t>
      </w:r>
      <w:r w:rsidRPr="003838DC">
        <w:rPr>
          <w:rFonts w:ascii="Arial" w:hAnsi="Arial" w:cs="Arial"/>
          <w:iCs/>
          <w:sz w:val="20"/>
          <w:szCs w:val="20"/>
        </w:rPr>
        <w:t>(201</w:t>
      </w:r>
      <w:r w:rsidR="00726BF5" w:rsidRPr="003838DC">
        <w:rPr>
          <w:rFonts w:ascii="Arial" w:hAnsi="Arial" w:cs="Arial"/>
          <w:iCs/>
          <w:sz w:val="20"/>
          <w:szCs w:val="20"/>
        </w:rPr>
        <w:t>3</w:t>
      </w:r>
      <w:r w:rsidRPr="003838DC">
        <w:rPr>
          <w:rFonts w:ascii="Arial" w:hAnsi="Arial" w:cs="Arial"/>
          <w:iCs/>
          <w:sz w:val="20"/>
          <w:szCs w:val="20"/>
        </w:rPr>
        <w:t>: £3</w:t>
      </w:r>
      <w:r w:rsidR="00726BF5" w:rsidRPr="003838DC">
        <w:rPr>
          <w:rFonts w:ascii="Arial" w:hAnsi="Arial" w:cs="Arial"/>
          <w:iCs/>
          <w:sz w:val="20"/>
          <w:szCs w:val="20"/>
        </w:rPr>
        <w:t>.29</w:t>
      </w:r>
      <w:r w:rsidRPr="003838DC">
        <w:rPr>
          <w:rFonts w:ascii="Arial" w:hAnsi="Arial" w:cs="Arial"/>
          <w:iCs/>
          <w:sz w:val="20"/>
          <w:szCs w:val="20"/>
        </w:rPr>
        <w:t xml:space="preserve"> million)</w:t>
      </w:r>
    </w:p>
    <w:p w:rsidR="00726BF5" w:rsidRPr="003838DC" w:rsidRDefault="00F271A3" w:rsidP="00F271A3">
      <w:pPr>
        <w:pStyle w:val="ListParagraph"/>
        <w:numPr>
          <w:ilvl w:val="0"/>
          <w:numId w:val="16"/>
        </w:numPr>
        <w:spacing w:after="0" w:line="240" w:lineRule="auto"/>
        <w:jc w:val="both"/>
        <w:rPr>
          <w:rFonts w:ascii="Arial" w:hAnsi="Arial" w:cs="Arial"/>
          <w:sz w:val="20"/>
          <w:szCs w:val="20"/>
        </w:rPr>
      </w:pPr>
      <w:r w:rsidRPr="003838DC">
        <w:rPr>
          <w:rFonts w:ascii="Arial" w:hAnsi="Arial" w:cs="Arial"/>
          <w:sz w:val="20"/>
          <w:szCs w:val="20"/>
        </w:rPr>
        <w:t xml:space="preserve">Underlying basic earnings per share of </w:t>
      </w:r>
      <w:r w:rsidR="00726BF5" w:rsidRPr="003838DC">
        <w:rPr>
          <w:rFonts w:ascii="Arial" w:hAnsi="Arial" w:cs="Arial"/>
          <w:sz w:val="20"/>
          <w:szCs w:val="20"/>
        </w:rPr>
        <w:t>22.</w:t>
      </w:r>
      <w:r w:rsidR="00902660">
        <w:rPr>
          <w:rFonts w:ascii="Arial" w:hAnsi="Arial" w:cs="Arial"/>
          <w:sz w:val="20"/>
          <w:szCs w:val="20"/>
        </w:rPr>
        <w:t>2</w:t>
      </w:r>
      <w:r w:rsidR="00726BF5" w:rsidRPr="003838DC">
        <w:rPr>
          <w:rFonts w:ascii="Arial" w:hAnsi="Arial" w:cs="Arial"/>
          <w:sz w:val="20"/>
          <w:szCs w:val="20"/>
        </w:rPr>
        <w:t xml:space="preserve">p (2013: </w:t>
      </w:r>
      <w:r w:rsidRPr="003838DC">
        <w:rPr>
          <w:rFonts w:ascii="Arial" w:hAnsi="Arial" w:cs="Arial"/>
          <w:sz w:val="20"/>
          <w:szCs w:val="20"/>
        </w:rPr>
        <w:t>21.</w:t>
      </w:r>
      <w:r w:rsidR="00902660">
        <w:rPr>
          <w:rFonts w:ascii="Arial" w:hAnsi="Arial" w:cs="Arial"/>
          <w:sz w:val="20"/>
          <w:szCs w:val="20"/>
        </w:rPr>
        <w:t>6</w:t>
      </w:r>
      <w:r w:rsidRPr="003838DC">
        <w:rPr>
          <w:rFonts w:ascii="Arial" w:hAnsi="Arial" w:cs="Arial"/>
          <w:sz w:val="20"/>
          <w:szCs w:val="20"/>
        </w:rPr>
        <w:t>p</w:t>
      </w:r>
      <w:r w:rsidR="00726BF5" w:rsidRPr="003838DC">
        <w:rPr>
          <w:rFonts w:ascii="Arial" w:hAnsi="Arial" w:cs="Arial"/>
          <w:sz w:val="20"/>
          <w:szCs w:val="20"/>
        </w:rPr>
        <w:t>)</w:t>
      </w:r>
    </w:p>
    <w:p w:rsidR="00F271A3" w:rsidRPr="003838DC" w:rsidRDefault="00F271A3" w:rsidP="00F271A3">
      <w:pPr>
        <w:numPr>
          <w:ilvl w:val="0"/>
          <w:numId w:val="16"/>
        </w:numPr>
        <w:spacing w:after="0" w:line="240" w:lineRule="auto"/>
        <w:jc w:val="both"/>
        <w:outlineLvl w:val="0"/>
        <w:rPr>
          <w:rFonts w:ascii="Arial" w:hAnsi="Arial" w:cs="Arial"/>
          <w:iCs/>
          <w:sz w:val="20"/>
          <w:szCs w:val="20"/>
        </w:rPr>
      </w:pPr>
      <w:r w:rsidRPr="003838DC">
        <w:rPr>
          <w:rFonts w:ascii="Arial" w:hAnsi="Arial" w:cs="Arial"/>
          <w:iCs/>
          <w:sz w:val="20"/>
          <w:szCs w:val="20"/>
        </w:rPr>
        <w:t>Cash balances totalled £</w:t>
      </w:r>
      <w:r w:rsidR="00ED0F42" w:rsidRPr="005A6B31">
        <w:rPr>
          <w:rFonts w:ascii="Arial" w:hAnsi="Arial" w:cs="Arial"/>
          <w:iCs/>
          <w:sz w:val="20"/>
          <w:szCs w:val="20"/>
        </w:rPr>
        <w:t>5.7</w:t>
      </w:r>
      <w:r w:rsidRPr="003838DC">
        <w:rPr>
          <w:rFonts w:ascii="Arial" w:hAnsi="Arial" w:cs="Arial"/>
          <w:iCs/>
          <w:sz w:val="20"/>
          <w:szCs w:val="20"/>
        </w:rPr>
        <w:t xml:space="preserve"> million (201</w:t>
      </w:r>
      <w:r w:rsidR="00CD6AE0" w:rsidRPr="003838DC">
        <w:rPr>
          <w:rFonts w:ascii="Arial" w:hAnsi="Arial" w:cs="Arial"/>
          <w:iCs/>
          <w:sz w:val="20"/>
          <w:szCs w:val="20"/>
        </w:rPr>
        <w:t>3</w:t>
      </w:r>
      <w:r w:rsidRPr="003838DC">
        <w:rPr>
          <w:rFonts w:ascii="Arial" w:hAnsi="Arial" w:cs="Arial"/>
          <w:iCs/>
          <w:sz w:val="20"/>
          <w:szCs w:val="20"/>
        </w:rPr>
        <w:t xml:space="preserve">: </w:t>
      </w:r>
      <w:r w:rsidR="00902660">
        <w:rPr>
          <w:rFonts w:ascii="Arial" w:hAnsi="Arial" w:cs="Arial"/>
          <w:iCs/>
          <w:sz w:val="20"/>
          <w:szCs w:val="20"/>
        </w:rPr>
        <w:t>£</w:t>
      </w:r>
      <w:r w:rsidR="00ED0F42" w:rsidRPr="005A6B31">
        <w:rPr>
          <w:rFonts w:ascii="Arial" w:hAnsi="Arial" w:cs="Arial"/>
          <w:iCs/>
          <w:sz w:val="20"/>
          <w:szCs w:val="20"/>
        </w:rPr>
        <w:t xml:space="preserve">11.4 </w:t>
      </w:r>
      <w:r w:rsidRPr="003838DC">
        <w:rPr>
          <w:rFonts w:ascii="Arial" w:hAnsi="Arial" w:cs="Arial"/>
          <w:iCs/>
          <w:sz w:val="20"/>
          <w:szCs w:val="20"/>
        </w:rPr>
        <w:t>million)</w:t>
      </w:r>
    </w:p>
    <w:p w:rsidR="00F271A3" w:rsidRPr="003838DC" w:rsidRDefault="00F271A3" w:rsidP="00F271A3">
      <w:pPr>
        <w:numPr>
          <w:ilvl w:val="0"/>
          <w:numId w:val="16"/>
        </w:numPr>
        <w:spacing w:after="0" w:line="240" w:lineRule="auto"/>
        <w:jc w:val="both"/>
        <w:outlineLvl w:val="0"/>
        <w:rPr>
          <w:rFonts w:ascii="Arial" w:hAnsi="Arial" w:cs="Arial"/>
          <w:i/>
          <w:iCs/>
          <w:sz w:val="20"/>
          <w:szCs w:val="20"/>
        </w:rPr>
      </w:pPr>
      <w:r w:rsidRPr="003838DC">
        <w:rPr>
          <w:rFonts w:ascii="Arial" w:hAnsi="Arial" w:cs="Arial"/>
          <w:iCs/>
          <w:sz w:val="20"/>
          <w:szCs w:val="20"/>
        </w:rPr>
        <w:t>Bank borrowings were £</w:t>
      </w:r>
      <w:r w:rsidR="00C51645" w:rsidRPr="003838DC">
        <w:rPr>
          <w:rFonts w:ascii="Arial" w:hAnsi="Arial" w:cs="Arial"/>
          <w:iCs/>
          <w:sz w:val="20"/>
          <w:szCs w:val="20"/>
        </w:rPr>
        <w:t>1.</w:t>
      </w:r>
      <w:r w:rsidRPr="003838DC">
        <w:rPr>
          <w:rFonts w:ascii="Arial" w:hAnsi="Arial" w:cs="Arial"/>
          <w:iCs/>
          <w:sz w:val="20"/>
          <w:szCs w:val="20"/>
        </w:rPr>
        <w:t>0 million (</w:t>
      </w:r>
      <w:r w:rsidR="00302EEA" w:rsidRPr="003838DC">
        <w:rPr>
          <w:rFonts w:ascii="Arial" w:hAnsi="Arial" w:cs="Arial"/>
          <w:iCs/>
          <w:sz w:val="20"/>
          <w:szCs w:val="20"/>
        </w:rPr>
        <w:t>201</w:t>
      </w:r>
      <w:r w:rsidR="00C51645" w:rsidRPr="003838DC">
        <w:rPr>
          <w:rFonts w:ascii="Arial" w:hAnsi="Arial" w:cs="Arial"/>
          <w:iCs/>
          <w:sz w:val="20"/>
          <w:szCs w:val="20"/>
        </w:rPr>
        <w:t>3</w:t>
      </w:r>
      <w:r w:rsidR="00302EEA" w:rsidRPr="003838DC">
        <w:rPr>
          <w:rFonts w:ascii="Arial" w:hAnsi="Arial" w:cs="Arial"/>
          <w:iCs/>
          <w:sz w:val="20"/>
          <w:szCs w:val="20"/>
        </w:rPr>
        <w:t xml:space="preserve">: </w:t>
      </w:r>
      <w:r w:rsidRPr="003838DC">
        <w:rPr>
          <w:rFonts w:ascii="Arial" w:hAnsi="Arial" w:cs="Arial"/>
          <w:iCs/>
          <w:sz w:val="20"/>
          <w:szCs w:val="20"/>
        </w:rPr>
        <w:t>£</w:t>
      </w:r>
      <w:r w:rsidR="00C51645" w:rsidRPr="003838DC">
        <w:rPr>
          <w:rFonts w:ascii="Arial" w:hAnsi="Arial" w:cs="Arial"/>
          <w:iCs/>
          <w:sz w:val="20"/>
          <w:szCs w:val="20"/>
        </w:rPr>
        <w:t>2</w:t>
      </w:r>
      <w:r w:rsidRPr="003838DC">
        <w:rPr>
          <w:rFonts w:ascii="Arial" w:hAnsi="Arial" w:cs="Arial"/>
          <w:iCs/>
          <w:sz w:val="20"/>
          <w:szCs w:val="20"/>
        </w:rPr>
        <w:t>.0 million)</w:t>
      </w:r>
    </w:p>
    <w:p w:rsidR="00F271A3" w:rsidRPr="003838DC" w:rsidRDefault="00F271A3" w:rsidP="00F271A3">
      <w:pPr>
        <w:numPr>
          <w:ilvl w:val="0"/>
          <w:numId w:val="16"/>
        </w:numPr>
        <w:spacing w:after="0" w:line="240" w:lineRule="auto"/>
        <w:jc w:val="both"/>
        <w:outlineLvl w:val="0"/>
        <w:rPr>
          <w:rFonts w:ascii="Arial" w:hAnsi="Arial" w:cs="Arial"/>
          <w:iCs/>
          <w:sz w:val="20"/>
          <w:szCs w:val="20"/>
        </w:rPr>
      </w:pPr>
      <w:r w:rsidRPr="003838DC">
        <w:rPr>
          <w:rFonts w:ascii="Arial" w:hAnsi="Arial" w:cs="Arial"/>
          <w:iCs/>
          <w:sz w:val="20"/>
          <w:szCs w:val="20"/>
        </w:rPr>
        <w:t>The Board is recommending a</w:t>
      </w:r>
      <w:r w:rsidR="00732CBB">
        <w:rPr>
          <w:rFonts w:ascii="Arial" w:hAnsi="Arial" w:cs="Arial"/>
          <w:iCs/>
          <w:sz w:val="20"/>
          <w:szCs w:val="20"/>
        </w:rPr>
        <w:t xml:space="preserve"> maintained</w:t>
      </w:r>
      <w:r w:rsidRPr="003838DC">
        <w:rPr>
          <w:rFonts w:ascii="Arial" w:hAnsi="Arial" w:cs="Arial"/>
          <w:iCs/>
          <w:sz w:val="20"/>
          <w:szCs w:val="20"/>
        </w:rPr>
        <w:t xml:space="preserve"> final dividend of 7.5p per share, which makes a total dividend of 11.5p per share</w:t>
      </w:r>
      <w:r w:rsidR="00726BF5" w:rsidRPr="003838DC">
        <w:rPr>
          <w:rFonts w:ascii="Arial" w:hAnsi="Arial" w:cs="Arial"/>
          <w:iCs/>
          <w:sz w:val="20"/>
          <w:szCs w:val="20"/>
        </w:rPr>
        <w:t xml:space="preserve"> (</w:t>
      </w:r>
      <w:r w:rsidRPr="003838DC">
        <w:rPr>
          <w:rFonts w:ascii="Arial" w:hAnsi="Arial" w:cs="Arial"/>
          <w:iCs/>
          <w:sz w:val="20"/>
          <w:szCs w:val="20"/>
        </w:rPr>
        <w:t>201</w:t>
      </w:r>
      <w:r w:rsidR="00726BF5" w:rsidRPr="003838DC">
        <w:rPr>
          <w:rFonts w:ascii="Arial" w:hAnsi="Arial" w:cs="Arial"/>
          <w:iCs/>
          <w:sz w:val="20"/>
          <w:szCs w:val="20"/>
        </w:rPr>
        <w:t>3</w:t>
      </w:r>
      <w:r w:rsidR="00302EEA" w:rsidRPr="003838DC">
        <w:rPr>
          <w:rFonts w:ascii="Arial" w:hAnsi="Arial" w:cs="Arial"/>
          <w:iCs/>
          <w:sz w:val="20"/>
          <w:szCs w:val="20"/>
        </w:rPr>
        <w:t>:</w:t>
      </w:r>
      <w:r w:rsidRPr="003838DC">
        <w:rPr>
          <w:rFonts w:ascii="Arial" w:hAnsi="Arial" w:cs="Arial"/>
          <w:iCs/>
          <w:sz w:val="20"/>
          <w:szCs w:val="20"/>
        </w:rPr>
        <w:t xml:space="preserve"> 11</w:t>
      </w:r>
      <w:r w:rsidR="00726BF5" w:rsidRPr="003838DC">
        <w:rPr>
          <w:rFonts w:ascii="Arial" w:hAnsi="Arial" w:cs="Arial"/>
          <w:iCs/>
          <w:sz w:val="20"/>
          <w:szCs w:val="20"/>
        </w:rPr>
        <w:t>.5</w:t>
      </w:r>
      <w:r w:rsidRPr="003838DC">
        <w:rPr>
          <w:rFonts w:ascii="Arial" w:hAnsi="Arial" w:cs="Arial"/>
          <w:iCs/>
          <w:sz w:val="20"/>
          <w:szCs w:val="20"/>
        </w:rPr>
        <w:t>p)</w:t>
      </w:r>
    </w:p>
    <w:p w:rsidR="00F271A3" w:rsidRPr="003838DC" w:rsidRDefault="00F271A3" w:rsidP="00F271A3">
      <w:pPr>
        <w:jc w:val="both"/>
        <w:rPr>
          <w:rFonts w:ascii="Arial" w:hAnsi="Arial" w:cs="Arial"/>
          <w:b/>
          <w:sz w:val="20"/>
          <w:szCs w:val="20"/>
        </w:rPr>
      </w:pPr>
    </w:p>
    <w:p w:rsidR="00F271A3" w:rsidRPr="003838DC" w:rsidRDefault="00F271A3" w:rsidP="00F271A3">
      <w:pPr>
        <w:jc w:val="both"/>
        <w:rPr>
          <w:rFonts w:ascii="Arial" w:hAnsi="Arial" w:cs="Arial"/>
          <w:b/>
          <w:sz w:val="20"/>
          <w:szCs w:val="20"/>
        </w:rPr>
      </w:pPr>
      <w:r w:rsidRPr="003838DC">
        <w:rPr>
          <w:rFonts w:ascii="Arial" w:hAnsi="Arial" w:cs="Arial"/>
          <w:b/>
          <w:sz w:val="20"/>
          <w:szCs w:val="20"/>
        </w:rPr>
        <w:t>Operating Highlights</w:t>
      </w:r>
    </w:p>
    <w:p w:rsidR="00F271A3" w:rsidRPr="003838DC" w:rsidRDefault="00F271A3" w:rsidP="00F271A3">
      <w:pPr>
        <w:jc w:val="both"/>
        <w:rPr>
          <w:rFonts w:ascii="Arial" w:hAnsi="Arial" w:cs="Arial"/>
          <w:b/>
          <w:i/>
          <w:sz w:val="20"/>
          <w:szCs w:val="20"/>
        </w:rPr>
      </w:pPr>
      <w:r w:rsidRPr="003838DC">
        <w:rPr>
          <w:rFonts w:ascii="Arial" w:hAnsi="Arial" w:cs="Arial"/>
          <w:b/>
          <w:i/>
          <w:sz w:val="20"/>
          <w:szCs w:val="20"/>
        </w:rPr>
        <w:t>Falkland Islands Company (FIC)</w:t>
      </w:r>
    </w:p>
    <w:p w:rsidR="00CD6AE0" w:rsidRPr="005A6B31" w:rsidRDefault="00F271A3" w:rsidP="008644F3">
      <w:pPr>
        <w:pStyle w:val="ListParagraph"/>
        <w:numPr>
          <w:ilvl w:val="0"/>
          <w:numId w:val="26"/>
        </w:numPr>
        <w:jc w:val="both"/>
        <w:rPr>
          <w:rFonts w:ascii="Arial" w:hAnsi="Arial" w:cs="Arial"/>
          <w:bCs/>
          <w:sz w:val="20"/>
          <w:szCs w:val="20"/>
        </w:rPr>
      </w:pPr>
      <w:r w:rsidRPr="003838DC">
        <w:rPr>
          <w:rFonts w:ascii="Arial" w:hAnsi="Arial" w:cs="Arial"/>
          <w:bCs/>
          <w:sz w:val="20"/>
          <w:szCs w:val="20"/>
        </w:rPr>
        <w:t xml:space="preserve">Revenues </w:t>
      </w:r>
      <w:r w:rsidR="00ED0F42" w:rsidRPr="005A6B31">
        <w:rPr>
          <w:rFonts w:ascii="Arial" w:hAnsi="Arial" w:cs="Arial"/>
          <w:bCs/>
          <w:sz w:val="20"/>
          <w:szCs w:val="20"/>
        </w:rPr>
        <w:t xml:space="preserve">up 4.3% </w:t>
      </w:r>
      <w:r w:rsidR="00CD6AE0" w:rsidRPr="003838DC">
        <w:rPr>
          <w:rFonts w:ascii="Arial" w:hAnsi="Arial" w:cs="Arial"/>
          <w:bCs/>
          <w:sz w:val="20"/>
          <w:szCs w:val="20"/>
        </w:rPr>
        <w:t xml:space="preserve">at </w:t>
      </w:r>
      <w:r w:rsidR="00902660">
        <w:rPr>
          <w:rFonts w:ascii="Arial" w:hAnsi="Arial" w:cs="Arial"/>
          <w:bCs/>
          <w:sz w:val="20"/>
          <w:szCs w:val="20"/>
        </w:rPr>
        <w:t>£</w:t>
      </w:r>
      <w:r w:rsidR="00CD6AE0" w:rsidRPr="003838DC">
        <w:rPr>
          <w:rFonts w:ascii="Arial" w:hAnsi="Arial" w:cs="Arial"/>
          <w:bCs/>
          <w:sz w:val="20"/>
          <w:szCs w:val="20"/>
        </w:rPr>
        <w:t>15.88 million</w:t>
      </w:r>
      <w:r w:rsidRPr="003838DC">
        <w:rPr>
          <w:rFonts w:ascii="Arial" w:hAnsi="Arial" w:cs="Arial"/>
          <w:bCs/>
          <w:sz w:val="20"/>
          <w:szCs w:val="20"/>
        </w:rPr>
        <w:t xml:space="preserve"> (201</w:t>
      </w:r>
      <w:r w:rsidR="00CD6AE0" w:rsidRPr="003838DC">
        <w:rPr>
          <w:rFonts w:ascii="Arial" w:hAnsi="Arial" w:cs="Arial"/>
          <w:bCs/>
          <w:sz w:val="20"/>
          <w:szCs w:val="20"/>
        </w:rPr>
        <w:t>3</w:t>
      </w:r>
      <w:r w:rsidRPr="003838DC">
        <w:rPr>
          <w:rFonts w:ascii="Arial" w:hAnsi="Arial" w:cs="Arial"/>
          <w:bCs/>
          <w:sz w:val="20"/>
          <w:szCs w:val="20"/>
        </w:rPr>
        <w:t>: £1</w:t>
      </w:r>
      <w:r w:rsidR="00CD6AE0" w:rsidRPr="003838DC">
        <w:rPr>
          <w:rFonts w:ascii="Arial" w:hAnsi="Arial" w:cs="Arial"/>
          <w:bCs/>
          <w:sz w:val="20"/>
          <w:szCs w:val="20"/>
        </w:rPr>
        <w:t>5.22</w:t>
      </w:r>
      <w:r w:rsidRPr="003838DC">
        <w:rPr>
          <w:rFonts w:ascii="Arial" w:hAnsi="Arial" w:cs="Arial"/>
          <w:bCs/>
          <w:sz w:val="20"/>
          <w:szCs w:val="20"/>
        </w:rPr>
        <w:t xml:space="preserve"> million) with</w:t>
      </w:r>
      <w:r w:rsidR="00CD6AE0" w:rsidRPr="005A6B31">
        <w:rPr>
          <w:rFonts w:ascii="Arial" w:hAnsi="Arial" w:cs="Arial"/>
          <w:bCs/>
          <w:sz w:val="20"/>
          <w:szCs w:val="20"/>
        </w:rPr>
        <w:t xml:space="preserve"> underlying</w:t>
      </w:r>
      <w:r w:rsidRPr="003838DC">
        <w:rPr>
          <w:rFonts w:ascii="Arial" w:hAnsi="Arial" w:cs="Arial"/>
          <w:bCs/>
          <w:sz w:val="20"/>
          <w:szCs w:val="20"/>
        </w:rPr>
        <w:t xml:space="preserve"> operating profit </w:t>
      </w:r>
      <w:r w:rsidR="007F0B59" w:rsidRPr="003838DC">
        <w:rPr>
          <w:rFonts w:ascii="Arial" w:hAnsi="Arial" w:cs="Arial"/>
          <w:bCs/>
          <w:sz w:val="20"/>
          <w:szCs w:val="20"/>
        </w:rPr>
        <w:t>of</w:t>
      </w:r>
      <w:r w:rsidRPr="003838DC">
        <w:rPr>
          <w:rFonts w:ascii="Arial" w:hAnsi="Arial" w:cs="Arial"/>
          <w:bCs/>
          <w:sz w:val="20"/>
          <w:szCs w:val="20"/>
        </w:rPr>
        <w:t xml:space="preserve"> £1</w:t>
      </w:r>
      <w:r w:rsidR="00CD6AE0" w:rsidRPr="003838DC">
        <w:rPr>
          <w:rFonts w:ascii="Arial" w:hAnsi="Arial" w:cs="Arial"/>
          <w:bCs/>
          <w:sz w:val="20"/>
          <w:szCs w:val="20"/>
        </w:rPr>
        <w:t>.01</w:t>
      </w:r>
      <w:r w:rsidRPr="003838DC">
        <w:rPr>
          <w:rFonts w:ascii="Arial" w:hAnsi="Arial" w:cs="Arial"/>
          <w:bCs/>
          <w:sz w:val="20"/>
          <w:szCs w:val="20"/>
        </w:rPr>
        <w:t xml:space="preserve"> million (201</w:t>
      </w:r>
      <w:r w:rsidR="00CD6AE0" w:rsidRPr="003838DC">
        <w:rPr>
          <w:rFonts w:ascii="Arial" w:hAnsi="Arial" w:cs="Arial"/>
          <w:bCs/>
          <w:sz w:val="20"/>
          <w:szCs w:val="20"/>
        </w:rPr>
        <w:t>3</w:t>
      </w:r>
      <w:r w:rsidRPr="003838DC">
        <w:rPr>
          <w:rFonts w:ascii="Arial" w:hAnsi="Arial" w:cs="Arial"/>
          <w:bCs/>
          <w:sz w:val="20"/>
          <w:szCs w:val="20"/>
        </w:rPr>
        <w:t>: £1.</w:t>
      </w:r>
      <w:r w:rsidR="00CD6AE0" w:rsidRPr="003838DC">
        <w:rPr>
          <w:rFonts w:ascii="Arial" w:hAnsi="Arial" w:cs="Arial"/>
          <w:bCs/>
          <w:sz w:val="20"/>
          <w:szCs w:val="20"/>
        </w:rPr>
        <w:t>33</w:t>
      </w:r>
      <w:r w:rsidRPr="003838DC">
        <w:rPr>
          <w:rFonts w:ascii="Arial" w:hAnsi="Arial" w:cs="Arial"/>
          <w:bCs/>
          <w:sz w:val="20"/>
          <w:szCs w:val="20"/>
        </w:rPr>
        <w:t xml:space="preserve"> million)</w:t>
      </w:r>
    </w:p>
    <w:p w:rsidR="00732CBB" w:rsidRDefault="00CD6AE0" w:rsidP="008644F3">
      <w:pPr>
        <w:pStyle w:val="ListParagraph"/>
        <w:numPr>
          <w:ilvl w:val="0"/>
          <w:numId w:val="26"/>
        </w:numPr>
        <w:jc w:val="both"/>
        <w:rPr>
          <w:rFonts w:ascii="Arial" w:hAnsi="Arial" w:cs="Arial"/>
          <w:bCs/>
          <w:sz w:val="20"/>
          <w:szCs w:val="20"/>
        </w:rPr>
      </w:pPr>
      <w:r w:rsidRPr="005A6B31">
        <w:rPr>
          <w:rFonts w:ascii="Arial" w:hAnsi="Arial" w:cs="Arial"/>
          <w:bCs/>
          <w:sz w:val="20"/>
          <w:szCs w:val="20"/>
        </w:rPr>
        <w:t xml:space="preserve">Quieter year in the Falklands </w:t>
      </w:r>
      <w:r w:rsidR="00914BEC">
        <w:rPr>
          <w:rFonts w:ascii="Arial" w:hAnsi="Arial" w:cs="Arial"/>
          <w:bCs/>
          <w:sz w:val="20"/>
          <w:szCs w:val="20"/>
        </w:rPr>
        <w:t>I</w:t>
      </w:r>
      <w:r w:rsidRPr="005A6B31">
        <w:rPr>
          <w:rFonts w:ascii="Arial" w:hAnsi="Arial" w:cs="Arial"/>
          <w:bCs/>
          <w:sz w:val="20"/>
          <w:szCs w:val="20"/>
        </w:rPr>
        <w:t>slands as anticipated with the absence of offshore drilling</w:t>
      </w:r>
      <w:r w:rsidR="00732CBB">
        <w:rPr>
          <w:rFonts w:ascii="Arial" w:hAnsi="Arial" w:cs="Arial"/>
          <w:bCs/>
          <w:sz w:val="20"/>
          <w:szCs w:val="20"/>
        </w:rPr>
        <w:t>.</w:t>
      </w:r>
    </w:p>
    <w:p w:rsidR="002A187E" w:rsidRPr="005A6B31" w:rsidRDefault="003838DC" w:rsidP="008644F3">
      <w:pPr>
        <w:pStyle w:val="ListParagraph"/>
        <w:numPr>
          <w:ilvl w:val="0"/>
          <w:numId w:val="26"/>
        </w:numPr>
        <w:jc w:val="both"/>
        <w:rPr>
          <w:rFonts w:ascii="Arial" w:hAnsi="Arial" w:cs="Arial"/>
          <w:bCs/>
          <w:sz w:val="20"/>
          <w:szCs w:val="20"/>
        </w:rPr>
      </w:pPr>
      <w:r>
        <w:rPr>
          <w:rFonts w:ascii="Arial" w:hAnsi="Arial" w:cs="Arial"/>
          <w:bCs/>
          <w:sz w:val="20"/>
          <w:szCs w:val="20"/>
        </w:rPr>
        <w:t>T</w:t>
      </w:r>
      <w:r w:rsidR="00CD6AE0" w:rsidRPr="005A6B31">
        <w:rPr>
          <w:rFonts w:ascii="Arial" w:hAnsi="Arial" w:cs="Arial"/>
          <w:bCs/>
          <w:sz w:val="20"/>
          <w:szCs w:val="20"/>
        </w:rPr>
        <w:t>he Group</w:t>
      </w:r>
      <w:r w:rsidR="00732CBB">
        <w:rPr>
          <w:rFonts w:ascii="Arial" w:hAnsi="Arial" w:cs="Arial"/>
          <w:bCs/>
          <w:sz w:val="20"/>
          <w:szCs w:val="20"/>
        </w:rPr>
        <w:t xml:space="preserve"> continues to invest in </w:t>
      </w:r>
      <w:r w:rsidR="00CD6AE0" w:rsidRPr="005A6B31">
        <w:rPr>
          <w:rFonts w:ascii="Arial" w:hAnsi="Arial" w:cs="Arial"/>
          <w:bCs/>
          <w:sz w:val="20"/>
          <w:szCs w:val="20"/>
        </w:rPr>
        <w:t xml:space="preserve">modernising FIC and strengthening local management to ensure the </w:t>
      </w:r>
      <w:r w:rsidR="002A187E" w:rsidRPr="005A6B31">
        <w:rPr>
          <w:rFonts w:ascii="Arial" w:hAnsi="Arial" w:cs="Arial"/>
          <w:bCs/>
          <w:sz w:val="20"/>
          <w:szCs w:val="20"/>
        </w:rPr>
        <w:t>C</w:t>
      </w:r>
      <w:r w:rsidR="00CD6AE0" w:rsidRPr="005A6B31">
        <w:rPr>
          <w:rFonts w:ascii="Arial" w:hAnsi="Arial" w:cs="Arial"/>
          <w:bCs/>
          <w:sz w:val="20"/>
          <w:szCs w:val="20"/>
        </w:rPr>
        <w:t xml:space="preserve">ompany remains positioned to capitalise on </w:t>
      </w:r>
      <w:r w:rsidR="002A187E" w:rsidRPr="005A6B31">
        <w:rPr>
          <w:rFonts w:ascii="Arial" w:hAnsi="Arial" w:cs="Arial"/>
          <w:bCs/>
          <w:sz w:val="20"/>
          <w:szCs w:val="20"/>
        </w:rPr>
        <w:t xml:space="preserve">future </w:t>
      </w:r>
      <w:r w:rsidR="00732CBB">
        <w:rPr>
          <w:rFonts w:ascii="Arial" w:hAnsi="Arial" w:cs="Arial"/>
          <w:bCs/>
          <w:sz w:val="20"/>
          <w:szCs w:val="20"/>
        </w:rPr>
        <w:t>growth in the economy</w:t>
      </w:r>
    </w:p>
    <w:p w:rsidR="00F271A3" w:rsidRPr="003838DC" w:rsidRDefault="00F271A3" w:rsidP="00F271A3">
      <w:pPr>
        <w:jc w:val="both"/>
        <w:rPr>
          <w:rFonts w:ascii="Arial" w:hAnsi="Arial" w:cs="Arial"/>
          <w:b/>
          <w:i/>
          <w:sz w:val="20"/>
          <w:szCs w:val="20"/>
        </w:rPr>
      </w:pPr>
      <w:proofErr w:type="spellStart"/>
      <w:r w:rsidRPr="003838DC">
        <w:rPr>
          <w:rFonts w:ascii="Arial" w:hAnsi="Arial" w:cs="Arial"/>
          <w:b/>
          <w:i/>
          <w:sz w:val="20"/>
          <w:szCs w:val="20"/>
        </w:rPr>
        <w:t>Momart</w:t>
      </w:r>
      <w:proofErr w:type="spellEnd"/>
      <w:r w:rsidRPr="003838DC">
        <w:rPr>
          <w:rFonts w:ascii="Arial" w:hAnsi="Arial" w:cs="Arial"/>
          <w:b/>
          <w:i/>
          <w:sz w:val="20"/>
          <w:szCs w:val="20"/>
        </w:rPr>
        <w:t xml:space="preserve"> </w:t>
      </w:r>
    </w:p>
    <w:p w:rsidR="00F271A3" w:rsidRPr="003838DC" w:rsidRDefault="00F271A3" w:rsidP="00F271A3">
      <w:pPr>
        <w:pStyle w:val="ListParagraph"/>
        <w:numPr>
          <w:ilvl w:val="0"/>
          <w:numId w:val="16"/>
        </w:numPr>
        <w:spacing w:after="0" w:line="240" w:lineRule="auto"/>
        <w:jc w:val="both"/>
        <w:rPr>
          <w:rFonts w:ascii="Arial" w:hAnsi="Arial" w:cs="Arial"/>
          <w:b/>
          <w:i/>
          <w:sz w:val="20"/>
          <w:szCs w:val="20"/>
        </w:rPr>
      </w:pPr>
      <w:r w:rsidRPr="003838DC">
        <w:rPr>
          <w:rFonts w:ascii="Arial" w:hAnsi="Arial" w:cs="Arial"/>
          <w:sz w:val="20"/>
          <w:szCs w:val="20"/>
        </w:rPr>
        <w:t xml:space="preserve">Revenues up </w:t>
      </w:r>
      <w:r w:rsidR="002A187E" w:rsidRPr="003838DC">
        <w:rPr>
          <w:rFonts w:ascii="Arial" w:hAnsi="Arial" w:cs="Arial"/>
          <w:sz w:val="20"/>
          <w:szCs w:val="20"/>
        </w:rPr>
        <w:t>12.0</w:t>
      </w:r>
      <w:r w:rsidRPr="003838DC">
        <w:rPr>
          <w:rFonts w:ascii="Arial" w:hAnsi="Arial" w:cs="Arial"/>
          <w:sz w:val="20"/>
          <w:szCs w:val="20"/>
        </w:rPr>
        <w:t>% to £1</w:t>
      </w:r>
      <w:r w:rsidR="002A187E" w:rsidRPr="003838DC">
        <w:rPr>
          <w:rFonts w:ascii="Arial" w:hAnsi="Arial" w:cs="Arial"/>
          <w:sz w:val="20"/>
          <w:szCs w:val="20"/>
        </w:rPr>
        <w:t>8.26</w:t>
      </w:r>
      <w:r w:rsidRPr="003838DC">
        <w:rPr>
          <w:rFonts w:ascii="Arial" w:hAnsi="Arial" w:cs="Arial"/>
          <w:sz w:val="20"/>
          <w:szCs w:val="20"/>
        </w:rPr>
        <w:t xml:space="preserve"> million (201</w:t>
      </w:r>
      <w:r w:rsidR="002A187E" w:rsidRPr="003838DC">
        <w:rPr>
          <w:rFonts w:ascii="Arial" w:hAnsi="Arial" w:cs="Arial"/>
          <w:sz w:val="20"/>
          <w:szCs w:val="20"/>
        </w:rPr>
        <w:t>3</w:t>
      </w:r>
      <w:r w:rsidRPr="003838DC">
        <w:rPr>
          <w:rFonts w:ascii="Arial" w:hAnsi="Arial" w:cs="Arial"/>
          <w:sz w:val="20"/>
          <w:szCs w:val="20"/>
        </w:rPr>
        <w:t>: £</w:t>
      </w:r>
      <w:r w:rsidR="002A187E" w:rsidRPr="003838DC">
        <w:rPr>
          <w:rFonts w:ascii="Arial" w:hAnsi="Arial" w:cs="Arial"/>
          <w:sz w:val="20"/>
          <w:szCs w:val="20"/>
        </w:rPr>
        <w:t>16.3</w:t>
      </w:r>
      <w:r w:rsidR="00734AA2">
        <w:rPr>
          <w:rFonts w:ascii="Arial" w:hAnsi="Arial" w:cs="Arial"/>
          <w:sz w:val="20"/>
          <w:szCs w:val="20"/>
        </w:rPr>
        <w:t>0</w:t>
      </w:r>
      <w:r w:rsidRPr="003838DC">
        <w:rPr>
          <w:rFonts w:ascii="Arial" w:hAnsi="Arial" w:cs="Arial"/>
          <w:sz w:val="20"/>
          <w:szCs w:val="20"/>
        </w:rPr>
        <w:t xml:space="preserve"> million) </w:t>
      </w:r>
    </w:p>
    <w:p w:rsidR="00F271A3" w:rsidRPr="003838DC" w:rsidRDefault="00F271A3" w:rsidP="00F271A3">
      <w:pPr>
        <w:pStyle w:val="ListParagraph"/>
        <w:numPr>
          <w:ilvl w:val="0"/>
          <w:numId w:val="16"/>
        </w:numPr>
        <w:spacing w:after="0" w:line="240" w:lineRule="auto"/>
        <w:jc w:val="both"/>
        <w:rPr>
          <w:rFonts w:ascii="Arial" w:hAnsi="Arial" w:cs="Arial"/>
          <w:b/>
          <w:i/>
          <w:sz w:val="20"/>
          <w:szCs w:val="20"/>
        </w:rPr>
      </w:pPr>
      <w:r w:rsidRPr="003838DC">
        <w:rPr>
          <w:rFonts w:ascii="Arial" w:hAnsi="Arial" w:cs="Arial"/>
          <w:sz w:val="20"/>
          <w:szCs w:val="20"/>
        </w:rPr>
        <w:t xml:space="preserve">Underlying operating profit up </w:t>
      </w:r>
      <w:r w:rsidR="002A187E" w:rsidRPr="003838DC">
        <w:rPr>
          <w:rFonts w:ascii="Arial" w:hAnsi="Arial" w:cs="Arial"/>
          <w:sz w:val="20"/>
          <w:szCs w:val="20"/>
        </w:rPr>
        <w:t>5</w:t>
      </w:r>
      <w:r w:rsidR="002A187E" w:rsidRPr="005A6B31">
        <w:rPr>
          <w:rFonts w:ascii="Arial" w:hAnsi="Arial" w:cs="Arial"/>
          <w:sz w:val="20"/>
          <w:szCs w:val="20"/>
        </w:rPr>
        <w:t>3.</w:t>
      </w:r>
      <w:r w:rsidR="002A187E" w:rsidRPr="003838DC">
        <w:rPr>
          <w:rFonts w:ascii="Arial" w:hAnsi="Arial" w:cs="Arial"/>
          <w:sz w:val="20"/>
          <w:szCs w:val="20"/>
        </w:rPr>
        <w:t>1</w:t>
      </w:r>
      <w:r w:rsidRPr="003838DC">
        <w:rPr>
          <w:rFonts w:ascii="Arial" w:hAnsi="Arial" w:cs="Arial"/>
          <w:sz w:val="20"/>
          <w:szCs w:val="20"/>
        </w:rPr>
        <w:t>% to £</w:t>
      </w:r>
      <w:r w:rsidR="002A187E" w:rsidRPr="003838DC">
        <w:rPr>
          <w:rFonts w:ascii="Arial" w:hAnsi="Arial" w:cs="Arial"/>
          <w:sz w:val="20"/>
          <w:szCs w:val="20"/>
        </w:rPr>
        <w:t>1.83</w:t>
      </w:r>
      <w:r w:rsidRPr="003838DC">
        <w:rPr>
          <w:rFonts w:ascii="Arial" w:hAnsi="Arial" w:cs="Arial"/>
          <w:sz w:val="20"/>
          <w:szCs w:val="20"/>
        </w:rPr>
        <w:t xml:space="preserve"> million (201</w:t>
      </w:r>
      <w:r w:rsidR="002A187E" w:rsidRPr="003838DC">
        <w:rPr>
          <w:rFonts w:ascii="Arial" w:hAnsi="Arial" w:cs="Arial"/>
          <w:sz w:val="20"/>
          <w:szCs w:val="20"/>
        </w:rPr>
        <w:t>3</w:t>
      </w:r>
      <w:r w:rsidRPr="003838DC">
        <w:rPr>
          <w:rFonts w:ascii="Arial" w:hAnsi="Arial" w:cs="Arial"/>
          <w:sz w:val="20"/>
          <w:szCs w:val="20"/>
        </w:rPr>
        <w:t>: £</w:t>
      </w:r>
      <w:r w:rsidR="002A187E" w:rsidRPr="003838DC">
        <w:rPr>
          <w:rFonts w:ascii="Arial" w:hAnsi="Arial" w:cs="Arial"/>
          <w:sz w:val="20"/>
          <w:szCs w:val="20"/>
        </w:rPr>
        <w:t>1.19</w:t>
      </w:r>
      <w:r w:rsidRPr="003838DC">
        <w:rPr>
          <w:rFonts w:ascii="Arial" w:hAnsi="Arial" w:cs="Arial"/>
          <w:sz w:val="20"/>
          <w:szCs w:val="20"/>
        </w:rPr>
        <w:t xml:space="preserve"> million) </w:t>
      </w:r>
    </w:p>
    <w:p w:rsidR="002A187E" w:rsidRPr="003838DC" w:rsidRDefault="002A187E" w:rsidP="002A187E">
      <w:pPr>
        <w:pStyle w:val="ListParagraph"/>
        <w:numPr>
          <w:ilvl w:val="0"/>
          <w:numId w:val="16"/>
        </w:numPr>
        <w:spacing w:after="0" w:line="240" w:lineRule="auto"/>
        <w:jc w:val="both"/>
        <w:rPr>
          <w:rFonts w:ascii="Arial" w:hAnsi="Arial" w:cs="Arial"/>
          <w:b/>
          <w:i/>
          <w:sz w:val="20"/>
          <w:szCs w:val="20"/>
        </w:rPr>
      </w:pPr>
      <w:r w:rsidRPr="005A6B31">
        <w:rPr>
          <w:rFonts w:ascii="Arial" w:hAnsi="Arial" w:cs="Arial"/>
          <w:sz w:val="20"/>
          <w:szCs w:val="20"/>
        </w:rPr>
        <w:t xml:space="preserve">A strong roster of exhibitions and high level of capacity </w:t>
      </w:r>
      <w:r w:rsidR="00F26F4A" w:rsidRPr="005A6B31">
        <w:rPr>
          <w:rFonts w:ascii="Arial" w:hAnsi="Arial" w:cs="Arial"/>
          <w:sz w:val="20"/>
          <w:szCs w:val="20"/>
        </w:rPr>
        <w:t>utilisation</w:t>
      </w:r>
      <w:r w:rsidRPr="005A6B31">
        <w:rPr>
          <w:rFonts w:ascii="Arial" w:hAnsi="Arial" w:cs="Arial"/>
          <w:sz w:val="20"/>
          <w:szCs w:val="20"/>
        </w:rPr>
        <w:t xml:space="preserve"> for gallery services and sto</w:t>
      </w:r>
      <w:r w:rsidR="00F26F4A" w:rsidRPr="005A6B31">
        <w:rPr>
          <w:rFonts w:ascii="Arial" w:hAnsi="Arial" w:cs="Arial"/>
          <w:sz w:val="20"/>
          <w:szCs w:val="20"/>
        </w:rPr>
        <w:t>rage resulted in a record year</w:t>
      </w:r>
    </w:p>
    <w:p w:rsidR="00C577D8" w:rsidRPr="00BF2805" w:rsidRDefault="002A187E" w:rsidP="002A187E">
      <w:pPr>
        <w:pStyle w:val="ListParagraph"/>
        <w:numPr>
          <w:ilvl w:val="0"/>
          <w:numId w:val="16"/>
        </w:numPr>
        <w:spacing w:after="0" w:line="240" w:lineRule="auto"/>
        <w:jc w:val="both"/>
        <w:rPr>
          <w:rFonts w:ascii="Arial" w:hAnsi="Arial" w:cs="Arial"/>
          <w:b/>
          <w:i/>
          <w:sz w:val="20"/>
          <w:szCs w:val="20"/>
        </w:rPr>
      </w:pPr>
      <w:r w:rsidRPr="003838DC">
        <w:rPr>
          <w:rFonts w:ascii="Arial" w:hAnsi="Arial" w:cs="Arial"/>
          <w:sz w:val="20"/>
          <w:szCs w:val="20"/>
        </w:rPr>
        <w:t>Prestigious major exhibition contracts during the year included</w:t>
      </w:r>
      <w:r w:rsidRPr="005A6B31">
        <w:rPr>
          <w:rFonts w:ascii="Arial" w:hAnsi="Arial" w:cs="Arial"/>
          <w:sz w:val="20"/>
          <w:szCs w:val="20"/>
        </w:rPr>
        <w:t xml:space="preserve">: </w:t>
      </w:r>
      <w:proofErr w:type="spellStart"/>
      <w:r w:rsidRPr="005A6B31">
        <w:rPr>
          <w:rFonts w:ascii="Arial" w:hAnsi="Arial" w:cs="Arial"/>
          <w:sz w:val="20"/>
          <w:szCs w:val="20"/>
        </w:rPr>
        <w:t>Manet</w:t>
      </w:r>
      <w:proofErr w:type="spellEnd"/>
      <w:r w:rsidR="00C577D8">
        <w:rPr>
          <w:rFonts w:ascii="Arial" w:hAnsi="Arial" w:cs="Arial"/>
          <w:sz w:val="20"/>
          <w:szCs w:val="20"/>
        </w:rPr>
        <w:t>: Portraying Life</w:t>
      </w:r>
      <w:r w:rsidRPr="005A6B31">
        <w:rPr>
          <w:rFonts w:ascii="Arial" w:hAnsi="Arial" w:cs="Arial"/>
          <w:sz w:val="20"/>
          <w:szCs w:val="20"/>
        </w:rPr>
        <w:t xml:space="preserve"> at the Royal Academy, Ellen Gallagher</w:t>
      </w:r>
      <w:r w:rsidR="00C577D8">
        <w:rPr>
          <w:rFonts w:ascii="Arial" w:hAnsi="Arial" w:cs="Arial"/>
          <w:sz w:val="20"/>
          <w:szCs w:val="20"/>
        </w:rPr>
        <w:t xml:space="preserve">: </w:t>
      </w:r>
      <w:proofErr w:type="spellStart"/>
      <w:r w:rsidR="00C577D8">
        <w:rPr>
          <w:rFonts w:ascii="Arial" w:hAnsi="Arial" w:cs="Arial"/>
          <w:sz w:val="20"/>
          <w:szCs w:val="20"/>
        </w:rPr>
        <w:t>AxMe</w:t>
      </w:r>
      <w:proofErr w:type="spellEnd"/>
      <w:r w:rsidRPr="005A6B31">
        <w:rPr>
          <w:rFonts w:ascii="Arial" w:hAnsi="Arial" w:cs="Arial"/>
          <w:sz w:val="20"/>
          <w:szCs w:val="20"/>
        </w:rPr>
        <w:t xml:space="preserve"> at Tate Modern, David Bowie</w:t>
      </w:r>
      <w:r w:rsidR="00C577D8">
        <w:rPr>
          <w:rFonts w:ascii="Arial" w:hAnsi="Arial" w:cs="Arial"/>
          <w:sz w:val="20"/>
          <w:szCs w:val="20"/>
        </w:rPr>
        <w:t>: Is</w:t>
      </w:r>
      <w:r w:rsidRPr="005A6B31">
        <w:rPr>
          <w:rFonts w:ascii="Arial" w:hAnsi="Arial" w:cs="Arial"/>
          <w:sz w:val="20"/>
          <w:szCs w:val="20"/>
        </w:rPr>
        <w:t xml:space="preserve"> and </w:t>
      </w:r>
      <w:r w:rsidR="00C577D8">
        <w:rPr>
          <w:rFonts w:ascii="Arial" w:hAnsi="Arial" w:cs="Arial"/>
          <w:sz w:val="20"/>
          <w:szCs w:val="20"/>
        </w:rPr>
        <w:t xml:space="preserve">Masterpieces of </w:t>
      </w:r>
      <w:r w:rsidRPr="005A6B31">
        <w:rPr>
          <w:rFonts w:ascii="Arial" w:hAnsi="Arial" w:cs="Arial"/>
          <w:sz w:val="20"/>
          <w:szCs w:val="20"/>
        </w:rPr>
        <w:t xml:space="preserve">Chinese Painting at the </w:t>
      </w:r>
    </w:p>
    <w:p w:rsidR="002A187E" w:rsidRPr="003838DC" w:rsidRDefault="002A187E" w:rsidP="00BF2805">
      <w:pPr>
        <w:pStyle w:val="ListParagraph"/>
        <w:spacing w:after="0" w:line="240" w:lineRule="auto"/>
        <w:jc w:val="both"/>
        <w:rPr>
          <w:rFonts w:ascii="Arial" w:hAnsi="Arial" w:cs="Arial"/>
          <w:b/>
          <w:i/>
          <w:sz w:val="20"/>
          <w:szCs w:val="20"/>
        </w:rPr>
      </w:pPr>
      <w:r w:rsidRPr="005A6B31">
        <w:rPr>
          <w:rFonts w:ascii="Arial" w:hAnsi="Arial" w:cs="Arial"/>
          <w:sz w:val="20"/>
          <w:szCs w:val="20"/>
        </w:rPr>
        <w:t xml:space="preserve">V &amp; A, </w:t>
      </w:r>
      <w:r w:rsidR="00C577D8">
        <w:rPr>
          <w:rFonts w:ascii="Arial" w:hAnsi="Arial" w:cs="Arial"/>
          <w:sz w:val="20"/>
          <w:szCs w:val="20"/>
        </w:rPr>
        <w:t xml:space="preserve">the Portrait of </w:t>
      </w:r>
      <w:r w:rsidRPr="005A6B31">
        <w:rPr>
          <w:rFonts w:ascii="Arial" w:hAnsi="Arial" w:cs="Arial"/>
          <w:sz w:val="20"/>
          <w:szCs w:val="20"/>
        </w:rPr>
        <w:t>Vienna at the National Gallery, Vikings</w:t>
      </w:r>
      <w:r w:rsidR="00C577D8">
        <w:rPr>
          <w:rFonts w:ascii="Arial" w:hAnsi="Arial" w:cs="Arial"/>
          <w:sz w:val="20"/>
          <w:szCs w:val="20"/>
        </w:rPr>
        <w:t>: Life and Legend</w:t>
      </w:r>
      <w:r w:rsidRPr="005A6B31">
        <w:rPr>
          <w:rFonts w:ascii="Arial" w:hAnsi="Arial" w:cs="Arial"/>
          <w:sz w:val="20"/>
          <w:szCs w:val="20"/>
        </w:rPr>
        <w:t xml:space="preserve"> at the British Museum and the </w:t>
      </w:r>
      <w:r w:rsidR="00C577D8">
        <w:rPr>
          <w:rFonts w:ascii="Arial" w:hAnsi="Arial" w:cs="Arial"/>
          <w:sz w:val="20"/>
          <w:szCs w:val="20"/>
        </w:rPr>
        <w:t xml:space="preserve">Houghton Revisited </w:t>
      </w:r>
      <w:r w:rsidRPr="005A6B31">
        <w:rPr>
          <w:rFonts w:ascii="Arial" w:hAnsi="Arial" w:cs="Arial"/>
          <w:sz w:val="20"/>
          <w:szCs w:val="20"/>
        </w:rPr>
        <w:t>Exhibition at Houghton Hall</w:t>
      </w:r>
    </w:p>
    <w:p w:rsidR="00F26F4A" w:rsidRPr="005A6B31" w:rsidRDefault="00F26F4A" w:rsidP="00F271A3">
      <w:pPr>
        <w:jc w:val="both"/>
        <w:rPr>
          <w:rFonts w:ascii="Arial" w:hAnsi="Arial" w:cs="Arial"/>
          <w:b/>
          <w:i/>
          <w:sz w:val="20"/>
          <w:szCs w:val="20"/>
        </w:rPr>
      </w:pPr>
    </w:p>
    <w:p w:rsidR="00F271A3" w:rsidRPr="003838DC" w:rsidRDefault="00F271A3" w:rsidP="00F271A3">
      <w:pPr>
        <w:jc w:val="both"/>
        <w:rPr>
          <w:rFonts w:ascii="Arial" w:hAnsi="Arial" w:cs="Arial"/>
          <w:b/>
          <w:i/>
          <w:sz w:val="20"/>
          <w:szCs w:val="20"/>
        </w:rPr>
      </w:pPr>
      <w:r w:rsidRPr="003838DC">
        <w:rPr>
          <w:rFonts w:ascii="Arial" w:hAnsi="Arial" w:cs="Arial"/>
          <w:b/>
          <w:i/>
          <w:sz w:val="20"/>
          <w:szCs w:val="20"/>
        </w:rPr>
        <w:t xml:space="preserve">Portsmouth Harbour Ferry Company </w:t>
      </w:r>
    </w:p>
    <w:p w:rsidR="00F271A3" w:rsidRPr="005A6B31" w:rsidRDefault="00F271A3" w:rsidP="00F271A3">
      <w:pPr>
        <w:pStyle w:val="ListParagraph"/>
        <w:numPr>
          <w:ilvl w:val="0"/>
          <w:numId w:val="16"/>
        </w:numPr>
        <w:spacing w:after="0" w:line="240" w:lineRule="auto"/>
        <w:jc w:val="both"/>
        <w:rPr>
          <w:rFonts w:ascii="Arial" w:hAnsi="Arial" w:cs="Arial"/>
          <w:sz w:val="20"/>
          <w:szCs w:val="20"/>
        </w:rPr>
      </w:pPr>
      <w:r w:rsidRPr="003838DC">
        <w:rPr>
          <w:rFonts w:ascii="Arial" w:hAnsi="Arial" w:cs="Arial"/>
          <w:sz w:val="20"/>
          <w:szCs w:val="20"/>
        </w:rPr>
        <w:t xml:space="preserve">Revenue </w:t>
      </w:r>
      <w:r w:rsidR="002A187E" w:rsidRPr="005A6B31">
        <w:rPr>
          <w:rFonts w:ascii="Arial" w:hAnsi="Arial" w:cs="Arial"/>
          <w:sz w:val="20"/>
          <w:szCs w:val="20"/>
        </w:rPr>
        <w:t>up 1.2% at</w:t>
      </w:r>
      <w:r w:rsidRPr="003838DC">
        <w:rPr>
          <w:rFonts w:ascii="Arial" w:hAnsi="Arial" w:cs="Arial"/>
          <w:sz w:val="20"/>
          <w:szCs w:val="20"/>
        </w:rPr>
        <w:t xml:space="preserve"> £4.</w:t>
      </w:r>
      <w:r w:rsidR="002A187E" w:rsidRPr="003838DC">
        <w:rPr>
          <w:rFonts w:ascii="Arial" w:hAnsi="Arial" w:cs="Arial"/>
          <w:sz w:val="20"/>
          <w:szCs w:val="20"/>
        </w:rPr>
        <w:t>12</w:t>
      </w:r>
      <w:r w:rsidRPr="003838DC">
        <w:rPr>
          <w:rFonts w:ascii="Arial" w:hAnsi="Arial" w:cs="Arial"/>
          <w:sz w:val="20"/>
          <w:szCs w:val="20"/>
        </w:rPr>
        <w:t xml:space="preserve"> million (201</w:t>
      </w:r>
      <w:r w:rsidR="002A187E" w:rsidRPr="003838DC">
        <w:rPr>
          <w:rFonts w:ascii="Arial" w:hAnsi="Arial" w:cs="Arial"/>
          <w:sz w:val="20"/>
          <w:szCs w:val="20"/>
        </w:rPr>
        <w:t>3</w:t>
      </w:r>
      <w:r w:rsidRPr="003838DC">
        <w:rPr>
          <w:rFonts w:ascii="Arial" w:hAnsi="Arial" w:cs="Arial"/>
          <w:sz w:val="20"/>
          <w:szCs w:val="20"/>
        </w:rPr>
        <w:t>: £4.</w:t>
      </w:r>
      <w:r w:rsidR="002A187E" w:rsidRPr="003838DC">
        <w:rPr>
          <w:rFonts w:ascii="Arial" w:hAnsi="Arial" w:cs="Arial"/>
          <w:sz w:val="20"/>
          <w:szCs w:val="20"/>
        </w:rPr>
        <w:t>08</w:t>
      </w:r>
      <w:r w:rsidRPr="003838DC">
        <w:rPr>
          <w:rFonts w:ascii="Arial" w:hAnsi="Arial" w:cs="Arial"/>
          <w:sz w:val="20"/>
          <w:szCs w:val="20"/>
        </w:rPr>
        <w:t xml:space="preserve"> million) and underlying operating profit </w:t>
      </w:r>
      <w:r w:rsidR="002A187E" w:rsidRPr="005A6B31">
        <w:rPr>
          <w:rFonts w:ascii="Arial" w:hAnsi="Arial" w:cs="Arial"/>
          <w:sz w:val="20"/>
          <w:szCs w:val="20"/>
        </w:rPr>
        <w:t xml:space="preserve">up 2.9% </w:t>
      </w:r>
      <w:r w:rsidRPr="003838DC">
        <w:rPr>
          <w:rFonts w:ascii="Arial" w:hAnsi="Arial" w:cs="Arial"/>
          <w:sz w:val="20"/>
          <w:szCs w:val="20"/>
        </w:rPr>
        <w:t>at £</w:t>
      </w:r>
      <w:r w:rsidR="002A187E" w:rsidRPr="003838DC">
        <w:rPr>
          <w:rFonts w:ascii="Arial" w:hAnsi="Arial" w:cs="Arial"/>
          <w:sz w:val="20"/>
          <w:szCs w:val="20"/>
        </w:rPr>
        <w:t>1.01</w:t>
      </w:r>
      <w:r w:rsidRPr="003838DC">
        <w:rPr>
          <w:rFonts w:ascii="Arial" w:hAnsi="Arial" w:cs="Arial"/>
          <w:sz w:val="20"/>
          <w:szCs w:val="20"/>
        </w:rPr>
        <w:t xml:space="preserve"> million (201</w:t>
      </w:r>
      <w:r w:rsidR="002A187E" w:rsidRPr="003838DC">
        <w:rPr>
          <w:rFonts w:ascii="Arial" w:hAnsi="Arial" w:cs="Arial"/>
          <w:sz w:val="20"/>
          <w:szCs w:val="20"/>
        </w:rPr>
        <w:t>3</w:t>
      </w:r>
      <w:r w:rsidRPr="003838DC">
        <w:rPr>
          <w:rFonts w:ascii="Arial" w:hAnsi="Arial" w:cs="Arial"/>
          <w:sz w:val="20"/>
          <w:szCs w:val="20"/>
        </w:rPr>
        <w:t>: £</w:t>
      </w:r>
      <w:r w:rsidR="002A187E" w:rsidRPr="003838DC">
        <w:rPr>
          <w:rFonts w:ascii="Arial" w:hAnsi="Arial" w:cs="Arial"/>
          <w:sz w:val="20"/>
          <w:szCs w:val="20"/>
        </w:rPr>
        <w:t xml:space="preserve">0.98 </w:t>
      </w:r>
      <w:r w:rsidRPr="003838DC">
        <w:rPr>
          <w:rFonts w:ascii="Arial" w:hAnsi="Arial" w:cs="Arial"/>
          <w:sz w:val="20"/>
          <w:szCs w:val="20"/>
        </w:rPr>
        <w:t>million)</w:t>
      </w:r>
    </w:p>
    <w:p w:rsidR="002A187E" w:rsidRPr="005A6B31" w:rsidRDefault="002A187E" w:rsidP="00F271A3">
      <w:pPr>
        <w:pStyle w:val="ListParagraph"/>
        <w:numPr>
          <w:ilvl w:val="0"/>
          <w:numId w:val="16"/>
        </w:numPr>
        <w:spacing w:after="0" w:line="240" w:lineRule="auto"/>
        <w:jc w:val="both"/>
        <w:rPr>
          <w:rFonts w:ascii="Arial" w:hAnsi="Arial" w:cs="Arial"/>
          <w:sz w:val="20"/>
          <w:szCs w:val="20"/>
        </w:rPr>
      </w:pPr>
      <w:r w:rsidRPr="005A6B31">
        <w:rPr>
          <w:rFonts w:ascii="Arial" w:hAnsi="Arial" w:cs="Arial"/>
          <w:sz w:val="20"/>
          <w:szCs w:val="20"/>
        </w:rPr>
        <w:t xml:space="preserve">Significant improvement in </w:t>
      </w:r>
      <w:r w:rsidR="008E78E9" w:rsidRPr="005A6B31">
        <w:rPr>
          <w:rFonts w:ascii="Arial" w:hAnsi="Arial" w:cs="Arial"/>
          <w:sz w:val="20"/>
          <w:szCs w:val="20"/>
        </w:rPr>
        <w:t xml:space="preserve">the underlying trend of </w:t>
      </w:r>
      <w:r w:rsidRPr="005A6B31">
        <w:rPr>
          <w:rFonts w:ascii="Arial" w:hAnsi="Arial" w:cs="Arial"/>
          <w:sz w:val="20"/>
          <w:szCs w:val="20"/>
        </w:rPr>
        <w:t>passenger numbers</w:t>
      </w:r>
      <w:r w:rsidR="008E78E9" w:rsidRPr="005A6B31">
        <w:rPr>
          <w:rFonts w:ascii="Arial" w:hAnsi="Arial" w:cs="Arial"/>
          <w:sz w:val="20"/>
          <w:szCs w:val="20"/>
        </w:rPr>
        <w:t xml:space="preserve"> </w:t>
      </w:r>
    </w:p>
    <w:p w:rsidR="008E78E9" w:rsidRPr="003838DC" w:rsidRDefault="008E78E9" w:rsidP="00F271A3">
      <w:pPr>
        <w:pStyle w:val="ListParagraph"/>
        <w:numPr>
          <w:ilvl w:val="0"/>
          <w:numId w:val="16"/>
        </w:numPr>
        <w:spacing w:after="0" w:line="240" w:lineRule="auto"/>
        <w:jc w:val="both"/>
        <w:rPr>
          <w:rFonts w:ascii="Arial" w:hAnsi="Arial" w:cs="Arial"/>
          <w:sz w:val="20"/>
          <w:szCs w:val="20"/>
        </w:rPr>
      </w:pPr>
      <w:r w:rsidRPr="005A6B31">
        <w:rPr>
          <w:rFonts w:ascii="Arial" w:hAnsi="Arial" w:cs="Arial"/>
          <w:sz w:val="20"/>
          <w:szCs w:val="20"/>
        </w:rPr>
        <w:t>Construction now well advanced on a  third modern ferry vessel, “Harbour Spirit”, which is due</w:t>
      </w:r>
      <w:r w:rsidR="00131AF2" w:rsidRPr="005A6B31">
        <w:rPr>
          <w:rFonts w:ascii="Arial" w:hAnsi="Arial" w:cs="Arial"/>
          <w:sz w:val="20"/>
          <w:szCs w:val="20"/>
        </w:rPr>
        <w:t xml:space="preserve"> to enter service early</w:t>
      </w:r>
      <w:r w:rsidR="00734AA2">
        <w:rPr>
          <w:rFonts w:ascii="Arial" w:hAnsi="Arial" w:cs="Arial"/>
          <w:sz w:val="20"/>
          <w:szCs w:val="20"/>
        </w:rPr>
        <w:t xml:space="preserve"> in</w:t>
      </w:r>
      <w:r w:rsidR="00131AF2" w:rsidRPr="005A6B31">
        <w:rPr>
          <w:rFonts w:ascii="Arial" w:hAnsi="Arial" w:cs="Arial"/>
          <w:sz w:val="20"/>
          <w:szCs w:val="20"/>
        </w:rPr>
        <w:t xml:space="preserve"> 2015</w:t>
      </w:r>
    </w:p>
    <w:p w:rsidR="008E78E9" w:rsidRPr="003838DC" w:rsidRDefault="008E78E9" w:rsidP="00F271A3">
      <w:pPr>
        <w:jc w:val="both"/>
        <w:rPr>
          <w:rFonts w:ascii="Arial" w:hAnsi="Arial" w:cs="Arial"/>
          <w:b/>
          <w:i/>
          <w:iCs/>
          <w:sz w:val="20"/>
          <w:szCs w:val="20"/>
        </w:rPr>
      </w:pPr>
    </w:p>
    <w:p w:rsidR="00F271A3" w:rsidRPr="003838DC" w:rsidRDefault="00F271A3" w:rsidP="00F271A3">
      <w:pPr>
        <w:jc w:val="both"/>
        <w:rPr>
          <w:rFonts w:ascii="Arial" w:hAnsi="Arial" w:cs="Arial"/>
          <w:sz w:val="20"/>
          <w:szCs w:val="20"/>
        </w:rPr>
      </w:pPr>
      <w:r w:rsidRPr="003838DC">
        <w:rPr>
          <w:rFonts w:ascii="Arial" w:hAnsi="Arial" w:cs="Arial"/>
          <w:b/>
          <w:i/>
          <w:iCs/>
          <w:sz w:val="20"/>
          <w:szCs w:val="20"/>
        </w:rPr>
        <w:t xml:space="preserve">Falkland Oil &amp; Gas Limited (‘FOGL’) </w:t>
      </w:r>
    </w:p>
    <w:p w:rsidR="00F271A3" w:rsidRDefault="00F271A3" w:rsidP="00F271A3">
      <w:pPr>
        <w:numPr>
          <w:ilvl w:val="0"/>
          <w:numId w:val="18"/>
        </w:numPr>
        <w:spacing w:after="0" w:line="240" w:lineRule="auto"/>
        <w:jc w:val="both"/>
        <w:outlineLvl w:val="0"/>
        <w:rPr>
          <w:rFonts w:ascii="Arial" w:hAnsi="Arial" w:cs="Arial"/>
          <w:sz w:val="20"/>
          <w:szCs w:val="20"/>
        </w:rPr>
      </w:pPr>
      <w:r w:rsidRPr="003838DC">
        <w:rPr>
          <w:rFonts w:ascii="Arial" w:hAnsi="Arial" w:cs="Arial"/>
          <w:sz w:val="20"/>
          <w:szCs w:val="20"/>
        </w:rPr>
        <w:t xml:space="preserve">The Group owns </w:t>
      </w:r>
      <w:r w:rsidR="008E78E9" w:rsidRPr="005A6B31">
        <w:rPr>
          <w:rFonts w:ascii="Arial" w:hAnsi="Arial" w:cs="Arial"/>
          <w:sz w:val="20"/>
          <w:szCs w:val="20"/>
        </w:rPr>
        <w:t>12.8</w:t>
      </w:r>
      <w:r w:rsidR="00734AA2">
        <w:rPr>
          <w:rFonts w:ascii="Arial" w:hAnsi="Arial" w:cs="Arial"/>
          <w:sz w:val="20"/>
          <w:szCs w:val="20"/>
        </w:rPr>
        <w:t>3</w:t>
      </w:r>
      <w:r w:rsidR="008E78E9" w:rsidRPr="005A6B31">
        <w:rPr>
          <w:rFonts w:ascii="Arial" w:hAnsi="Arial" w:cs="Arial"/>
          <w:sz w:val="20"/>
          <w:szCs w:val="20"/>
        </w:rPr>
        <w:t xml:space="preserve"> million</w:t>
      </w:r>
      <w:r w:rsidRPr="003838DC">
        <w:rPr>
          <w:rFonts w:ascii="Arial" w:hAnsi="Arial" w:cs="Arial"/>
          <w:sz w:val="20"/>
          <w:szCs w:val="20"/>
        </w:rPr>
        <w:t xml:space="preserve"> shares in FOGL which represents </w:t>
      </w:r>
      <w:r w:rsidR="00914BEC">
        <w:rPr>
          <w:rFonts w:ascii="Arial" w:hAnsi="Arial" w:cs="Arial"/>
          <w:sz w:val="20"/>
          <w:szCs w:val="20"/>
        </w:rPr>
        <w:t>2.</w:t>
      </w:r>
      <w:r w:rsidRPr="003838DC">
        <w:rPr>
          <w:rFonts w:ascii="Arial" w:hAnsi="Arial" w:cs="Arial"/>
          <w:sz w:val="20"/>
          <w:szCs w:val="20"/>
        </w:rPr>
        <w:t>4% of the issued share capital of FOGL; at 31 March 201</w:t>
      </w:r>
      <w:r w:rsidR="008E78E9" w:rsidRPr="005A6B31">
        <w:rPr>
          <w:rFonts w:ascii="Arial" w:hAnsi="Arial" w:cs="Arial"/>
          <w:sz w:val="20"/>
          <w:szCs w:val="20"/>
        </w:rPr>
        <w:t>4</w:t>
      </w:r>
      <w:r w:rsidRPr="003838DC">
        <w:rPr>
          <w:rFonts w:ascii="Arial" w:hAnsi="Arial" w:cs="Arial"/>
          <w:sz w:val="20"/>
          <w:szCs w:val="20"/>
        </w:rPr>
        <w:t xml:space="preserve"> the market value of the investment </w:t>
      </w:r>
      <w:r w:rsidR="008E78E9" w:rsidRPr="005A6B31">
        <w:rPr>
          <w:rFonts w:ascii="Arial" w:hAnsi="Arial" w:cs="Arial"/>
          <w:sz w:val="20"/>
          <w:szCs w:val="20"/>
        </w:rPr>
        <w:t xml:space="preserve">was broadly unchanged at </w:t>
      </w:r>
      <w:r w:rsidRPr="003838DC">
        <w:rPr>
          <w:rFonts w:ascii="Arial" w:hAnsi="Arial" w:cs="Arial"/>
          <w:sz w:val="20"/>
          <w:szCs w:val="20"/>
        </w:rPr>
        <w:t>£3.</w:t>
      </w:r>
      <w:r w:rsidR="008E78E9" w:rsidRPr="005A6B31">
        <w:rPr>
          <w:rFonts w:ascii="Arial" w:hAnsi="Arial" w:cs="Arial"/>
          <w:sz w:val="20"/>
          <w:szCs w:val="20"/>
        </w:rPr>
        <w:t>3</w:t>
      </w:r>
      <w:r w:rsidRPr="003838DC">
        <w:rPr>
          <w:rFonts w:ascii="Arial" w:hAnsi="Arial" w:cs="Arial"/>
          <w:sz w:val="20"/>
          <w:szCs w:val="20"/>
        </w:rPr>
        <w:t xml:space="preserve"> million</w:t>
      </w:r>
    </w:p>
    <w:p w:rsidR="00732CBB" w:rsidRPr="005A6B31" w:rsidRDefault="00732CBB" w:rsidP="00F271A3">
      <w:pPr>
        <w:numPr>
          <w:ilvl w:val="0"/>
          <w:numId w:val="18"/>
        </w:numPr>
        <w:spacing w:after="0" w:line="240" w:lineRule="auto"/>
        <w:jc w:val="both"/>
        <w:outlineLvl w:val="0"/>
        <w:rPr>
          <w:rFonts w:ascii="Arial" w:hAnsi="Arial" w:cs="Arial"/>
          <w:sz w:val="20"/>
          <w:szCs w:val="20"/>
        </w:rPr>
      </w:pPr>
      <w:r>
        <w:rPr>
          <w:rFonts w:ascii="Arial" w:hAnsi="Arial" w:cs="Arial"/>
          <w:sz w:val="20"/>
          <w:szCs w:val="20"/>
        </w:rPr>
        <w:t>The acquisition of Desire Petroleum gives FOGL an interest in the North Falkland Basin a</w:t>
      </w:r>
      <w:r w:rsidR="003838DC">
        <w:rPr>
          <w:rFonts w:ascii="Arial" w:hAnsi="Arial" w:cs="Arial"/>
          <w:sz w:val="20"/>
          <w:szCs w:val="20"/>
        </w:rPr>
        <w:t>n</w:t>
      </w:r>
      <w:r>
        <w:rPr>
          <w:rFonts w:ascii="Arial" w:hAnsi="Arial" w:cs="Arial"/>
          <w:sz w:val="20"/>
          <w:szCs w:val="20"/>
        </w:rPr>
        <w:t>d the Sea Lion discovery.</w:t>
      </w:r>
    </w:p>
    <w:p w:rsidR="008E78E9" w:rsidRPr="005A6B31" w:rsidRDefault="008E78E9" w:rsidP="00F271A3">
      <w:pPr>
        <w:numPr>
          <w:ilvl w:val="0"/>
          <w:numId w:val="18"/>
        </w:numPr>
        <w:spacing w:after="0" w:line="240" w:lineRule="auto"/>
        <w:jc w:val="both"/>
        <w:outlineLvl w:val="0"/>
        <w:rPr>
          <w:rFonts w:ascii="Arial" w:hAnsi="Arial" w:cs="Arial"/>
          <w:sz w:val="20"/>
          <w:szCs w:val="20"/>
        </w:rPr>
      </w:pPr>
      <w:r w:rsidRPr="005A6B31">
        <w:rPr>
          <w:rFonts w:ascii="Arial" w:hAnsi="Arial" w:cs="Arial"/>
          <w:sz w:val="20"/>
          <w:szCs w:val="20"/>
        </w:rPr>
        <w:lastRenderedPageBreak/>
        <w:t xml:space="preserve">Three separate 3D surveys  totalling over 12,000 </w:t>
      </w:r>
      <w:proofErr w:type="spellStart"/>
      <w:r w:rsidRPr="005A6B31">
        <w:rPr>
          <w:rFonts w:ascii="Arial" w:hAnsi="Arial" w:cs="Arial"/>
          <w:sz w:val="20"/>
          <w:szCs w:val="20"/>
        </w:rPr>
        <w:t>sq</w:t>
      </w:r>
      <w:proofErr w:type="spellEnd"/>
      <w:r w:rsidRPr="005A6B31">
        <w:rPr>
          <w:rFonts w:ascii="Arial" w:hAnsi="Arial" w:cs="Arial"/>
          <w:sz w:val="20"/>
          <w:szCs w:val="20"/>
        </w:rPr>
        <w:t xml:space="preserve"> km  w</w:t>
      </w:r>
      <w:r w:rsidR="003838DC">
        <w:rPr>
          <w:rFonts w:ascii="Arial" w:hAnsi="Arial" w:cs="Arial"/>
          <w:sz w:val="20"/>
          <w:szCs w:val="20"/>
        </w:rPr>
        <w:t>ere</w:t>
      </w:r>
      <w:r w:rsidRPr="005A6B31">
        <w:rPr>
          <w:rFonts w:ascii="Arial" w:hAnsi="Arial" w:cs="Arial"/>
          <w:sz w:val="20"/>
          <w:szCs w:val="20"/>
        </w:rPr>
        <w:t xml:space="preserve"> carried out to the South and East of the Falklands; the interpretation of these results, combined  with existing  seismic and drilling  data</w:t>
      </w:r>
      <w:r w:rsidR="00312CE7">
        <w:rPr>
          <w:rFonts w:ascii="Arial" w:hAnsi="Arial" w:cs="Arial"/>
          <w:sz w:val="20"/>
          <w:szCs w:val="20"/>
        </w:rPr>
        <w:t>,</w:t>
      </w:r>
      <w:r w:rsidRPr="005A6B31">
        <w:rPr>
          <w:rFonts w:ascii="Arial" w:hAnsi="Arial" w:cs="Arial"/>
          <w:sz w:val="20"/>
          <w:szCs w:val="20"/>
        </w:rPr>
        <w:t xml:space="preserve"> will inform the choice of targets</w:t>
      </w:r>
      <w:r w:rsidR="000D6423" w:rsidRPr="005A6B31">
        <w:rPr>
          <w:rFonts w:ascii="Arial" w:hAnsi="Arial" w:cs="Arial"/>
          <w:sz w:val="20"/>
          <w:szCs w:val="20"/>
        </w:rPr>
        <w:t xml:space="preserve"> for the next drilling campaign</w:t>
      </w:r>
    </w:p>
    <w:p w:rsidR="000D6423" w:rsidRPr="005A6B31" w:rsidRDefault="000D6423" w:rsidP="00F271A3">
      <w:pPr>
        <w:numPr>
          <w:ilvl w:val="0"/>
          <w:numId w:val="18"/>
        </w:numPr>
        <w:spacing w:after="0" w:line="240" w:lineRule="auto"/>
        <w:jc w:val="both"/>
        <w:outlineLvl w:val="0"/>
        <w:rPr>
          <w:rFonts w:ascii="Arial" w:hAnsi="Arial" w:cs="Arial"/>
          <w:sz w:val="20"/>
          <w:szCs w:val="20"/>
        </w:rPr>
      </w:pPr>
      <w:r w:rsidRPr="005A6B31">
        <w:rPr>
          <w:rFonts w:ascii="Arial" w:hAnsi="Arial" w:cs="Arial"/>
          <w:sz w:val="20"/>
          <w:szCs w:val="20"/>
        </w:rPr>
        <w:t>The 2015 drilling campaign</w:t>
      </w:r>
      <w:r w:rsidR="00732CBB">
        <w:rPr>
          <w:rFonts w:ascii="Arial" w:hAnsi="Arial" w:cs="Arial"/>
          <w:sz w:val="20"/>
          <w:szCs w:val="20"/>
        </w:rPr>
        <w:t xml:space="preserve"> </w:t>
      </w:r>
      <w:r w:rsidR="003B32C3">
        <w:rPr>
          <w:rFonts w:ascii="Arial" w:hAnsi="Arial" w:cs="Arial"/>
          <w:sz w:val="20"/>
          <w:szCs w:val="20"/>
        </w:rPr>
        <w:t xml:space="preserve">will </w:t>
      </w:r>
      <w:r w:rsidR="00732CBB">
        <w:rPr>
          <w:rFonts w:ascii="Arial" w:hAnsi="Arial" w:cs="Arial"/>
          <w:sz w:val="20"/>
          <w:szCs w:val="20"/>
        </w:rPr>
        <w:t>include 5 wells in which FOGL has an interest</w:t>
      </w:r>
      <w:r w:rsidR="003838DC">
        <w:rPr>
          <w:rFonts w:ascii="Arial" w:hAnsi="Arial" w:cs="Arial"/>
          <w:sz w:val="20"/>
          <w:szCs w:val="20"/>
        </w:rPr>
        <w:t>.</w:t>
      </w:r>
      <w:r w:rsidR="00A45DD1">
        <w:rPr>
          <w:rFonts w:ascii="Arial" w:hAnsi="Arial" w:cs="Arial"/>
          <w:sz w:val="20"/>
          <w:szCs w:val="20"/>
        </w:rPr>
        <w:t xml:space="preserve">  </w:t>
      </w:r>
      <w:r w:rsidR="003838DC">
        <w:rPr>
          <w:rFonts w:ascii="Arial" w:hAnsi="Arial" w:cs="Arial"/>
          <w:sz w:val="20"/>
          <w:szCs w:val="20"/>
        </w:rPr>
        <w:t xml:space="preserve">FOGL </w:t>
      </w:r>
      <w:r w:rsidRPr="005A6B31">
        <w:rPr>
          <w:rFonts w:ascii="Arial" w:hAnsi="Arial" w:cs="Arial"/>
          <w:sz w:val="20"/>
          <w:szCs w:val="20"/>
        </w:rPr>
        <w:t xml:space="preserve"> already </w:t>
      </w:r>
      <w:r w:rsidR="003838DC">
        <w:rPr>
          <w:rFonts w:ascii="Arial" w:hAnsi="Arial" w:cs="Arial"/>
          <w:sz w:val="20"/>
          <w:szCs w:val="20"/>
        </w:rPr>
        <w:t xml:space="preserve">has funding for the campaign which </w:t>
      </w:r>
      <w:r w:rsidR="00732CBB">
        <w:rPr>
          <w:rFonts w:ascii="Arial" w:hAnsi="Arial" w:cs="Arial"/>
          <w:sz w:val="20"/>
          <w:szCs w:val="20"/>
        </w:rPr>
        <w:t xml:space="preserve"> </w:t>
      </w:r>
      <w:r w:rsidRPr="005A6B31">
        <w:rPr>
          <w:rFonts w:ascii="Arial" w:hAnsi="Arial" w:cs="Arial"/>
          <w:sz w:val="20"/>
          <w:szCs w:val="20"/>
        </w:rPr>
        <w:t xml:space="preserve">has the potential to transform the value of </w:t>
      </w:r>
      <w:r w:rsidR="00732CBB">
        <w:rPr>
          <w:rFonts w:ascii="Arial" w:hAnsi="Arial" w:cs="Arial"/>
          <w:sz w:val="20"/>
          <w:szCs w:val="20"/>
        </w:rPr>
        <w:t xml:space="preserve">the company </w:t>
      </w:r>
    </w:p>
    <w:p w:rsidR="0072256B" w:rsidRPr="003838DC" w:rsidRDefault="0072256B" w:rsidP="0072256B">
      <w:pPr>
        <w:spacing w:after="0" w:line="240" w:lineRule="auto"/>
        <w:ind w:left="360"/>
        <w:jc w:val="both"/>
        <w:rPr>
          <w:rFonts w:ascii="Arial" w:hAnsi="Arial" w:cs="Arial"/>
          <w:sz w:val="20"/>
          <w:szCs w:val="20"/>
        </w:rPr>
      </w:pPr>
    </w:p>
    <w:p w:rsidR="00BC0E13" w:rsidRPr="003838DC" w:rsidRDefault="00BC0E13" w:rsidP="0072256B">
      <w:pPr>
        <w:spacing w:after="0" w:line="240" w:lineRule="auto"/>
        <w:ind w:left="360"/>
        <w:jc w:val="both"/>
        <w:rPr>
          <w:rFonts w:ascii="Arial" w:hAnsi="Arial" w:cs="Arial"/>
          <w:sz w:val="20"/>
          <w:szCs w:val="20"/>
        </w:rPr>
      </w:pPr>
    </w:p>
    <w:p w:rsidR="00F271A3" w:rsidRPr="005A6B31" w:rsidRDefault="00F271A3" w:rsidP="00F271A3">
      <w:pPr>
        <w:jc w:val="both"/>
        <w:rPr>
          <w:rFonts w:ascii="Arial" w:hAnsi="Arial" w:cs="Arial"/>
          <w:b/>
          <w:bCs/>
          <w:sz w:val="20"/>
          <w:szCs w:val="20"/>
        </w:rPr>
      </w:pPr>
      <w:r w:rsidRPr="003838DC">
        <w:rPr>
          <w:rFonts w:ascii="Arial" w:hAnsi="Arial" w:cs="Arial"/>
          <w:b/>
          <w:sz w:val="20"/>
          <w:szCs w:val="20"/>
        </w:rPr>
        <w:t>David Hudd, Chairman of FIH, said:</w:t>
      </w:r>
      <w:r w:rsidRPr="003838DC">
        <w:rPr>
          <w:rFonts w:ascii="Arial" w:hAnsi="Arial" w:cs="Arial"/>
          <w:b/>
          <w:bCs/>
          <w:sz w:val="20"/>
          <w:szCs w:val="20"/>
        </w:rPr>
        <w:t xml:space="preserve"> </w:t>
      </w:r>
    </w:p>
    <w:p w:rsidR="00F26F4A" w:rsidRPr="005A6B31" w:rsidRDefault="00F26F4A" w:rsidP="00F271A3">
      <w:pPr>
        <w:jc w:val="both"/>
        <w:rPr>
          <w:rFonts w:ascii="Arial" w:hAnsi="Arial" w:cs="Arial"/>
          <w:bCs/>
          <w:sz w:val="20"/>
          <w:szCs w:val="20"/>
        </w:rPr>
      </w:pPr>
      <w:r w:rsidRPr="003838DC">
        <w:rPr>
          <w:rFonts w:ascii="Arial" w:hAnsi="Arial" w:cs="Arial"/>
          <w:bCs/>
          <w:sz w:val="20"/>
          <w:szCs w:val="20"/>
        </w:rPr>
        <w:t>“</w:t>
      </w:r>
      <w:r w:rsidRPr="005A6B31">
        <w:rPr>
          <w:rFonts w:ascii="Arial" w:hAnsi="Arial" w:cs="Arial"/>
          <w:bCs/>
          <w:sz w:val="20"/>
          <w:szCs w:val="20"/>
        </w:rPr>
        <w:t>We are pleased to report another good year of progress</w:t>
      </w:r>
      <w:r w:rsidR="00AE0BF8" w:rsidRPr="005A6B31">
        <w:rPr>
          <w:rFonts w:ascii="Arial" w:hAnsi="Arial" w:cs="Arial"/>
          <w:bCs/>
          <w:sz w:val="20"/>
          <w:szCs w:val="20"/>
        </w:rPr>
        <w:t xml:space="preserve"> for the Group</w:t>
      </w:r>
      <w:r w:rsidRPr="005A6B31">
        <w:rPr>
          <w:rFonts w:ascii="Arial" w:hAnsi="Arial" w:cs="Arial"/>
          <w:bCs/>
          <w:sz w:val="20"/>
          <w:szCs w:val="20"/>
        </w:rPr>
        <w:t xml:space="preserve">, with </w:t>
      </w:r>
      <w:r w:rsidR="003838DC">
        <w:rPr>
          <w:rFonts w:ascii="Arial" w:hAnsi="Arial" w:cs="Arial"/>
          <w:bCs/>
          <w:sz w:val="20"/>
          <w:szCs w:val="20"/>
        </w:rPr>
        <w:t>encouraging</w:t>
      </w:r>
      <w:r w:rsidR="00AE0BF8" w:rsidRPr="005A6B31">
        <w:rPr>
          <w:rFonts w:ascii="Arial" w:hAnsi="Arial" w:cs="Arial"/>
          <w:bCs/>
          <w:sz w:val="20"/>
          <w:szCs w:val="20"/>
        </w:rPr>
        <w:t xml:space="preserve"> revenue and profit </w:t>
      </w:r>
      <w:r w:rsidR="00732CBB">
        <w:rPr>
          <w:rFonts w:ascii="Arial" w:hAnsi="Arial" w:cs="Arial"/>
          <w:bCs/>
          <w:sz w:val="20"/>
          <w:szCs w:val="20"/>
        </w:rPr>
        <w:t>growth.</w:t>
      </w:r>
      <w:r w:rsidR="00AE0BF8" w:rsidRPr="005A6B31">
        <w:rPr>
          <w:rFonts w:ascii="Arial" w:hAnsi="Arial" w:cs="Arial"/>
          <w:bCs/>
          <w:sz w:val="20"/>
          <w:szCs w:val="20"/>
        </w:rPr>
        <w:t xml:space="preserve"> </w:t>
      </w:r>
    </w:p>
    <w:p w:rsidR="00AE0BF8" w:rsidRPr="003838DC" w:rsidRDefault="00AE0BF8" w:rsidP="00F271A3">
      <w:pPr>
        <w:jc w:val="both"/>
        <w:rPr>
          <w:rFonts w:ascii="Arial" w:hAnsi="Arial" w:cs="Arial"/>
          <w:bCs/>
          <w:sz w:val="20"/>
          <w:szCs w:val="20"/>
        </w:rPr>
      </w:pPr>
      <w:r w:rsidRPr="005A6B31">
        <w:rPr>
          <w:rFonts w:ascii="Arial" w:hAnsi="Arial" w:cs="Arial"/>
          <w:bCs/>
          <w:sz w:val="20"/>
          <w:szCs w:val="20"/>
        </w:rPr>
        <w:t>“</w:t>
      </w:r>
      <w:proofErr w:type="spellStart"/>
      <w:r w:rsidRPr="005A6B31">
        <w:rPr>
          <w:rFonts w:ascii="Arial" w:hAnsi="Arial" w:cs="Arial"/>
          <w:bCs/>
          <w:sz w:val="20"/>
          <w:szCs w:val="20"/>
        </w:rPr>
        <w:t>Momart</w:t>
      </w:r>
      <w:proofErr w:type="spellEnd"/>
      <w:r w:rsidRPr="005A6B31">
        <w:rPr>
          <w:rFonts w:ascii="Arial" w:hAnsi="Arial" w:cs="Arial"/>
          <w:bCs/>
          <w:sz w:val="20"/>
          <w:szCs w:val="20"/>
        </w:rPr>
        <w:t xml:space="preserve"> delivered a record year as it benefited from the strength of the international art market, </w:t>
      </w:r>
      <w:r w:rsidR="00047E65">
        <w:rPr>
          <w:rFonts w:ascii="Arial" w:hAnsi="Arial" w:cs="Arial"/>
          <w:bCs/>
          <w:sz w:val="20"/>
          <w:szCs w:val="20"/>
        </w:rPr>
        <w:t>supporting</w:t>
      </w:r>
      <w:r w:rsidRPr="005A6B31">
        <w:rPr>
          <w:rFonts w:ascii="Arial" w:hAnsi="Arial" w:cs="Arial"/>
          <w:bCs/>
          <w:sz w:val="20"/>
          <w:szCs w:val="20"/>
        </w:rPr>
        <w:t xml:space="preserve"> prestigious</w:t>
      </w:r>
      <w:r w:rsidR="00047E65">
        <w:rPr>
          <w:rFonts w:ascii="Arial" w:hAnsi="Arial" w:cs="Arial"/>
          <w:bCs/>
          <w:sz w:val="20"/>
          <w:szCs w:val="20"/>
        </w:rPr>
        <w:t xml:space="preserve"> </w:t>
      </w:r>
      <w:r w:rsidRPr="005A6B31">
        <w:rPr>
          <w:rFonts w:ascii="Arial" w:hAnsi="Arial" w:cs="Arial"/>
          <w:bCs/>
          <w:sz w:val="20"/>
          <w:szCs w:val="20"/>
        </w:rPr>
        <w:t>exhibitions and</w:t>
      </w:r>
      <w:r w:rsidR="00047E65">
        <w:rPr>
          <w:rFonts w:ascii="Arial" w:hAnsi="Arial" w:cs="Arial"/>
          <w:bCs/>
          <w:sz w:val="20"/>
          <w:szCs w:val="20"/>
        </w:rPr>
        <w:t xml:space="preserve"> utilising a</w:t>
      </w:r>
      <w:r w:rsidRPr="005A6B31">
        <w:rPr>
          <w:rFonts w:ascii="Arial" w:hAnsi="Arial" w:cs="Arial"/>
          <w:bCs/>
          <w:sz w:val="20"/>
          <w:szCs w:val="20"/>
        </w:rPr>
        <w:t xml:space="preserve"> high level of capacity </w:t>
      </w:r>
      <w:r w:rsidR="00047E65">
        <w:rPr>
          <w:rFonts w:ascii="Arial" w:hAnsi="Arial" w:cs="Arial"/>
          <w:bCs/>
          <w:sz w:val="20"/>
          <w:szCs w:val="20"/>
        </w:rPr>
        <w:t>in</w:t>
      </w:r>
      <w:r w:rsidRPr="005A6B31">
        <w:rPr>
          <w:rFonts w:ascii="Arial" w:hAnsi="Arial" w:cs="Arial"/>
          <w:bCs/>
          <w:sz w:val="20"/>
          <w:szCs w:val="20"/>
        </w:rPr>
        <w:t xml:space="preserve"> gallery services and storage. </w:t>
      </w:r>
    </w:p>
    <w:p w:rsidR="00AE0BF8" w:rsidRPr="005A6B31" w:rsidRDefault="00AE0BF8" w:rsidP="00F271A3">
      <w:pPr>
        <w:jc w:val="both"/>
        <w:rPr>
          <w:rFonts w:ascii="Arial" w:hAnsi="Arial" w:cs="Arial"/>
          <w:b/>
          <w:bCs/>
          <w:sz w:val="20"/>
          <w:szCs w:val="20"/>
        </w:rPr>
      </w:pPr>
      <w:r w:rsidRPr="005A6B31">
        <w:rPr>
          <w:rFonts w:ascii="Arial" w:hAnsi="Arial" w:cs="Arial"/>
          <w:sz w:val="20"/>
          <w:szCs w:val="20"/>
        </w:rPr>
        <w:t xml:space="preserve">“The Portsmouth Harbour Ferry Company saw a significant improvement </w:t>
      </w:r>
      <w:r w:rsidR="00047E65">
        <w:rPr>
          <w:rFonts w:ascii="Arial" w:hAnsi="Arial" w:cs="Arial"/>
          <w:sz w:val="20"/>
          <w:szCs w:val="20"/>
        </w:rPr>
        <w:t>in</w:t>
      </w:r>
      <w:r w:rsidRPr="005A6B31">
        <w:rPr>
          <w:rFonts w:ascii="Arial" w:hAnsi="Arial" w:cs="Arial"/>
          <w:sz w:val="20"/>
          <w:szCs w:val="20"/>
        </w:rPr>
        <w:t xml:space="preserve"> passenger numbers </w:t>
      </w:r>
      <w:r w:rsidR="00797C10">
        <w:rPr>
          <w:rFonts w:ascii="Arial" w:hAnsi="Arial" w:cs="Arial"/>
          <w:sz w:val="20"/>
          <w:szCs w:val="20"/>
        </w:rPr>
        <w:t>which is encouraging</w:t>
      </w:r>
      <w:r w:rsidR="00312CE7">
        <w:rPr>
          <w:rFonts w:ascii="Arial" w:hAnsi="Arial" w:cs="Arial"/>
          <w:sz w:val="20"/>
          <w:szCs w:val="20"/>
        </w:rPr>
        <w:t>.</w:t>
      </w:r>
      <w:r w:rsidRPr="005A6B31">
        <w:rPr>
          <w:rFonts w:ascii="Arial" w:hAnsi="Arial" w:cs="Arial"/>
          <w:sz w:val="20"/>
          <w:szCs w:val="20"/>
        </w:rPr>
        <w:t xml:space="preserve"> </w:t>
      </w:r>
    </w:p>
    <w:p w:rsidR="00F26F4A" w:rsidRPr="003838DC" w:rsidRDefault="00C51645" w:rsidP="00F271A3">
      <w:pPr>
        <w:jc w:val="both"/>
        <w:rPr>
          <w:rFonts w:ascii="Arial" w:hAnsi="Arial" w:cs="Arial"/>
          <w:bCs/>
          <w:sz w:val="20"/>
          <w:szCs w:val="20"/>
        </w:rPr>
      </w:pPr>
      <w:r w:rsidRPr="005A6B31">
        <w:rPr>
          <w:rFonts w:ascii="Arial" w:hAnsi="Arial" w:cs="Arial"/>
          <w:b/>
          <w:bCs/>
          <w:sz w:val="20"/>
          <w:szCs w:val="20"/>
        </w:rPr>
        <w:t>“</w:t>
      </w:r>
      <w:r w:rsidRPr="005A6B31">
        <w:rPr>
          <w:rFonts w:ascii="Arial" w:hAnsi="Arial" w:cs="Arial"/>
          <w:bCs/>
          <w:sz w:val="20"/>
          <w:szCs w:val="20"/>
        </w:rPr>
        <w:t xml:space="preserve">In the </w:t>
      </w:r>
      <w:r w:rsidR="0083225B" w:rsidRPr="005A6B31">
        <w:rPr>
          <w:rFonts w:ascii="Arial" w:hAnsi="Arial" w:cs="Arial"/>
          <w:bCs/>
          <w:sz w:val="20"/>
          <w:szCs w:val="20"/>
        </w:rPr>
        <w:t>Falklands</w:t>
      </w:r>
      <w:r w:rsidRPr="005A6B31">
        <w:rPr>
          <w:rFonts w:ascii="Arial" w:hAnsi="Arial" w:cs="Arial"/>
          <w:bCs/>
          <w:sz w:val="20"/>
          <w:szCs w:val="20"/>
        </w:rPr>
        <w:t xml:space="preserve">, </w:t>
      </w:r>
      <w:r w:rsidR="00131AF2" w:rsidRPr="005A6B31">
        <w:rPr>
          <w:rFonts w:ascii="Arial" w:hAnsi="Arial" w:cs="Arial"/>
          <w:bCs/>
          <w:sz w:val="20"/>
          <w:szCs w:val="20"/>
        </w:rPr>
        <w:t>FIC</w:t>
      </w:r>
      <w:r w:rsidRPr="005A6B31">
        <w:rPr>
          <w:rFonts w:ascii="Arial" w:hAnsi="Arial" w:cs="Arial"/>
          <w:bCs/>
          <w:sz w:val="20"/>
          <w:szCs w:val="20"/>
        </w:rPr>
        <w:t xml:space="preserve"> experienced a quieter year, as anticipated, in the absence of a drilling campaign. </w:t>
      </w:r>
      <w:r w:rsidR="00047E65">
        <w:rPr>
          <w:rFonts w:ascii="Arial" w:hAnsi="Arial" w:cs="Arial"/>
          <w:bCs/>
          <w:sz w:val="20"/>
          <w:szCs w:val="20"/>
        </w:rPr>
        <w:t>W</w:t>
      </w:r>
      <w:r w:rsidRPr="005A6B31">
        <w:rPr>
          <w:rFonts w:ascii="Arial" w:hAnsi="Arial" w:cs="Arial"/>
          <w:bCs/>
          <w:sz w:val="20"/>
          <w:szCs w:val="20"/>
        </w:rPr>
        <w:t xml:space="preserve">e remain focussed on modernising the business in readiness for the </w:t>
      </w:r>
      <w:r w:rsidR="00790B93">
        <w:rPr>
          <w:rFonts w:ascii="Arial" w:hAnsi="Arial" w:cs="Arial"/>
          <w:bCs/>
          <w:sz w:val="20"/>
          <w:szCs w:val="20"/>
        </w:rPr>
        <w:t>expected</w:t>
      </w:r>
      <w:r w:rsidRPr="005A6B31">
        <w:rPr>
          <w:rFonts w:ascii="Arial" w:hAnsi="Arial" w:cs="Arial"/>
          <w:bCs/>
          <w:sz w:val="20"/>
          <w:szCs w:val="20"/>
        </w:rPr>
        <w:t xml:space="preserve"> increase in economic activity as the next round of drilling approaches. </w:t>
      </w:r>
      <w:r w:rsidRPr="005A6B31">
        <w:rPr>
          <w:rFonts w:ascii="Arial" w:hAnsi="Arial" w:cs="Arial"/>
          <w:sz w:val="20"/>
          <w:szCs w:val="20"/>
        </w:rPr>
        <w:t xml:space="preserve">We continue to believe that our </w:t>
      </w:r>
      <w:r w:rsidR="00732CBB">
        <w:rPr>
          <w:rFonts w:ascii="Arial" w:hAnsi="Arial" w:cs="Arial"/>
          <w:sz w:val="20"/>
          <w:szCs w:val="20"/>
        </w:rPr>
        <w:t xml:space="preserve">wide spread of businesses </w:t>
      </w:r>
      <w:r w:rsidRPr="005A6B31">
        <w:rPr>
          <w:rFonts w:ascii="Arial" w:hAnsi="Arial" w:cs="Arial"/>
          <w:sz w:val="20"/>
          <w:szCs w:val="20"/>
        </w:rPr>
        <w:t xml:space="preserve">in the Falklands </w:t>
      </w:r>
      <w:r w:rsidR="00BF2805">
        <w:rPr>
          <w:rFonts w:ascii="Arial" w:hAnsi="Arial" w:cs="Arial"/>
          <w:sz w:val="20"/>
          <w:szCs w:val="20"/>
        </w:rPr>
        <w:t>offers</w:t>
      </w:r>
      <w:r w:rsidRPr="005A6B31">
        <w:rPr>
          <w:rFonts w:ascii="Arial" w:hAnsi="Arial" w:cs="Arial"/>
          <w:sz w:val="20"/>
          <w:szCs w:val="20"/>
        </w:rPr>
        <w:t xml:space="preserve"> an outstanding business opportunity </w:t>
      </w:r>
      <w:r w:rsidR="00732CBB">
        <w:rPr>
          <w:rFonts w:ascii="Arial" w:hAnsi="Arial" w:cs="Arial"/>
          <w:sz w:val="20"/>
          <w:szCs w:val="20"/>
        </w:rPr>
        <w:t>there</w:t>
      </w:r>
      <w:r w:rsidR="003E44EB">
        <w:rPr>
          <w:rFonts w:ascii="Arial" w:hAnsi="Arial" w:cs="Arial"/>
          <w:sz w:val="20"/>
          <w:szCs w:val="20"/>
        </w:rPr>
        <w:t>.</w:t>
      </w:r>
      <w:r w:rsidR="00732CBB">
        <w:rPr>
          <w:rFonts w:ascii="Arial" w:hAnsi="Arial" w:cs="Arial"/>
          <w:sz w:val="20"/>
          <w:szCs w:val="20"/>
        </w:rPr>
        <w:t xml:space="preserve"> </w:t>
      </w:r>
      <w:r w:rsidR="00F24510" w:rsidRPr="005A6B31">
        <w:rPr>
          <w:rFonts w:ascii="Arial" w:hAnsi="Arial" w:cs="Arial"/>
          <w:sz w:val="20"/>
          <w:szCs w:val="20"/>
        </w:rPr>
        <w:t>”</w:t>
      </w:r>
    </w:p>
    <w:p w:rsidR="00F271A3" w:rsidRPr="003838DC" w:rsidRDefault="00F271A3" w:rsidP="0072256B">
      <w:pPr>
        <w:jc w:val="center"/>
        <w:rPr>
          <w:rFonts w:ascii="Arial" w:hAnsi="Arial" w:cs="Arial"/>
          <w:b/>
          <w:sz w:val="20"/>
          <w:szCs w:val="20"/>
        </w:rPr>
      </w:pPr>
      <w:r w:rsidRPr="003838DC">
        <w:rPr>
          <w:rFonts w:ascii="Arial" w:hAnsi="Arial" w:cs="Arial"/>
          <w:b/>
          <w:sz w:val="20"/>
          <w:szCs w:val="20"/>
        </w:rPr>
        <w:t>- End -</w:t>
      </w:r>
      <w:bookmarkStart w:id="4" w:name="_DV_M72"/>
      <w:bookmarkEnd w:id="4"/>
    </w:p>
    <w:p w:rsidR="00F271A3" w:rsidRDefault="00F271A3" w:rsidP="00F271A3">
      <w:pPr>
        <w:ind w:right="22"/>
        <w:jc w:val="both"/>
        <w:rPr>
          <w:rFonts w:ascii="Arial" w:hAnsi="Arial" w:cs="Arial"/>
          <w:b/>
          <w:sz w:val="20"/>
          <w:szCs w:val="20"/>
        </w:rPr>
      </w:pPr>
      <w:r w:rsidRPr="003838DC">
        <w:rPr>
          <w:rFonts w:ascii="Arial" w:hAnsi="Arial" w:cs="Arial"/>
          <w:b/>
          <w:sz w:val="20"/>
          <w:szCs w:val="20"/>
        </w:rPr>
        <w:t>Enquiries:</w:t>
      </w:r>
    </w:p>
    <w:tbl>
      <w:tblPr>
        <w:tblStyle w:val="TableGrid"/>
        <w:tblW w:w="0" w:type="auto"/>
        <w:tblLook w:val="04A0" w:firstRow="1" w:lastRow="0" w:firstColumn="1" w:lastColumn="0" w:noHBand="0" w:noVBand="1"/>
      </w:tblPr>
      <w:tblGrid>
        <w:gridCol w:w="4786"/>
        <w:gridCol w:w="3730"/>
      </w:tblGrid>
      <w:tr w:rsidR="00F271A3" w:rsidTr="003838DC">
        <w:tc>
          <w:tcPr>
            <w:tcW w:w="4786" w:type="dxa"/>
          </w:tcPr>
          <w:p w:rsidR="00F271A3" w:rsidRPr="00307E88" w:rsidRDefault="00F271A3" w:rsidP="00837997">
            <w:pPr>
              <w:pStyle w:val="HTMLPreformatted"/>
              <w:rPr>
                <w:rFonts w:ascii="Arial" w:hAnsi="Arial" w:cs="Arial"/>
                <w:b/>
                <w:color w:val="000000"/>
              </w:rPr>
            </w:pPr>
            <w:r w:rsidRPr="00307E88">
              <w:rPr>
                <w:rFonts w:ascii="Arial" w:hAnsi="Arial" w:cs="Arial"/>
                <w:b/>
                <w:color w:val="000000"/>
              </w:rPr>
              <w:t>Falkland Islands Holdings plc</w:t>
            </w:r>
          </w:p>
          <w:p w:rsidR="00F271A3" w:rsidRPr="00307E88" w:rsidRDefault="00F271A3" w:rsidP="00837997">
            <w:pPr>
              <w:pStyle w:val="HTMLPreformatted"/>
              <w:rPr>
                <w:rFonts w:ascii="Arial" w:hAnsi="Arial" w:cs="Arial"/>
                <w:color w:val="000000"/>
              </w:rPr>
            </w:pPr>
            <w:r w:rsidRPr="00307E88">
              <w:rPr>
                <w:rFonts w:ascii="Arial" w:hAnsi="Arial" w:cs="Arial"/>
                <w:color w:val="000000"/>
              </w:rPr>
              <w:t xml:space="preserve"> David Hudd, Chairman</w:t>
            </w:r>
          </w:p>
          <w:p w:rsidR="00F24510" w:rsidRPr="00307E88" w:rsidRDefault="00F271A3" w:rsidP="00837997">
            <w:pPr>
              <w:pStyle w:val="HTMLPreformatted"/>
              <w:rPr>
                <w:rFonts w:ascii="Arial" w:hAnsi="Arial" w:cs="Arial"/>
                <w:color w:val="000000"/>
              </w:rPr>
            </w:pPr>
            <w:r w:rsidRPr="00307E88">
              <w:rPr>
                <w:rFonts w:ascii="Arial" w:hAnsi="Arial" w:cs="Arial"/>
                <w:color w:val="000000"/>
              </w:rPr>
              <w:t xml:space="preserve"> John Foster, Managing Director</w:t>
            </w:r>
          </w:p>
          <w:p w:rsidR="00F271A3" w:rsidRDefault="00F271A3" w:rsidP="003838DC">
            <w:pPr>
              <w:pStyle w:val="HTMLPreformatted"/>
            </w:pPr>
          </w:p>
        </w:tc>
        <w:tc>
          <w:tcPr>
            <w:tcW w:w="3730" w:type="dxa"/>
          </w:tcPr>
          <w:p w:rsidR="00F271A3" w:rsidRPr="00AE1CFF" w:rsidRDefault="00F271A3" w:rsidP="00837997">
            <w:pPr>
              <w:pStyle w:val="HTMLPreformatted"/>
              <w:rPr>
                <w:rFonts w:ascii="Arial" w:hAnsi="Arial" w:cs="Arial"/>
                <w:color w:val="000000"/>
              </w:rPr>
            </w:pPr>
            <w:r w:rsidRPr="00AE1CFF">
              <w:rPr>
                <w:rFonts w:ascii="Arial" w:hAnsi="Arial" w:cs="Arial"/>
                <w:color w:val="000000"/>
              </w:rPr>
              <w:t xml:space="preserve">Tel: 01279 461 630 </w:t>
            </w:r>
          </w:p>
          <w:p w:rsidR="00F271A3" w:rsidRPr="00AE1CFF" w:rsidRDefault="00F271A3" w:rsidP="00837997">
            <w:pPr>
              <w:pStyle w:val="HTMLPreformatted"/>
              <w:rPr>
                <w:rFonts w:ascii="Arial" w:hAnsi="Arial" w:cs="Arial"/>
                <w:color w:val="000000"/>
              </w:rPr>
            </w:pPr>
            <w:r>
              <w:rPr>
                <w:rFonts w:ascii="Arial" w:hAnsi="Arial" w:cs="Arial"/>
                <w:color w:val="000000"/>
              </w:rPr>
              <w:t xml:space="preserve">Tel: 07771 893267 </w:t>
            </w:r>
          </w:p>
          <w:p w:rsidR="00F271A3" w:rsidRDefault="00F271A3" w:rsidP="005F358C">
            <w:pPr>
              <w:pStyle w:val="HTMLPreformatted"/>
              <w:rPr>
                <w:rFonts w:ascii="Arial" w:hAnsi="Arial" w:cs="Arial"/>
                <w:b/>
              </w:rPr>
            </w:pPr>
          </w:p>
        </w:tc>
      </w:tr>
      <w:tr w:rsidR="00F271A3" w:rsidTr="003838DC">
        <w:tc>
          <w:tcPr>
            <w:tcW w:w="4786" w:type="dxa"/>
          </w:tcPr>
          <w:p w:rsidR="00F271A3" w:rsidRPr="00A72502" w:rsidRDefault="00F271A3" w:rsidP="00837997">
            <w:pPr>
              <w:pStyle w:val="HTMLPreformatted"/>
              <w:rPr>
                <w:rFonts w:ascii="Arial" w:hAnsi="Arial" w:cs="Arial"/>
                <w:b/>
                <w:color w:val="000000"/>
              </w:rPr>
            </w:pPr>
            <w:r w:rsidRPr="00A72502">
              <w:rPr>
                <w:rFonts w:ascii="Arial" w:hAnsi="Arial" w:cs="Arial"/>
                <w:b/>
                <w:color w:val="000000"/>
              </w:rPr>
              <w:t>WH Ireland Ltd. - NOMAD and Broker to FIH</w:t>
            </w:r>
          </w:p>
          <w:p w:rsidR="00F24510" w:rsidRPr="00A72502" w:rsidRDefault="00F271A3" w:rsidP="00837997">
            <w:pPr>
              <w:pStyle w:val="HTMLPreformatted"/>
              <w:rPr>
                <w:rFonts w:ascii="Arial" w:hAnsi="Arial" w:cs="Arial"/>
                <w:color w:val="000000"/>
              </w:rPr>
            </w:pPr>
            <w:r w:rsidRPr="00A72502">
              <w:rPr>
                <w:rFonts w:ascii="Arial" w:hAnsi="Arial" w:cs="Arial"/>
                <w:color w:val="000000"/>
              </w:rPr>
              <w:t xml:space="preserve"> Adrian Hadden / Nick Field</w:t>
            </w:r>
          </w:p>
          <w:p w:rsidR="00F271A3" w:rsidRDefault="00F271A3" w:rsidP="003838DC">
            <w:pPr>
              <w:pStyle w:val="HTMLPreformatted"/>
            </w:pPr>
          </w:p>
        </w:tc>
        <w:tc>
          <w:tcPr>
            <w:tcW w:w="3730" w:type="dxa"/>
          </w:tcPr>
          <w:p w:rsidR="00F271A3" w:rsidRDefault="00F271A3" w:rsidP="00837997">
            <w:pPr>
              <w:pStyle w:val="HTMLPreformatted"/>
              <w:rPr>
                <w:rFonts w:ascii="Arial" w:hAnsi="Arial" w:cs="Arial"/>
                <w:b/>
              </w:rPr>
            </w:pPr>
            <w:r w:rsidRPr="00AE1CFF">
              <w:rPr>
                <w:rFonts w:ascii="Arial" w:hAnsi="Arial" w:cs="Arial"/>
                <w:color w:val="000000"/>
              </w:rPr>
              <w:t>Tel: 0207 220 1666</w:t>
            </w:r>
            <w:r w:rsidRPr="00A72502">
              <w:rPr>
                <w:color w:val="000000"/>
              </w:rPr>
              <w:t xml:space="preserve">  </w:t>
            </w:r>
          </w:p>
        </w:tc>
      </w:tr>
      <w:tr w:rsidR="00F271A3" w:rsidTr="003838DC">
        <w:tc>
          <w:tcPr>
            <w:tcW w:w="4786" w:type="dxa"/>
          </w:tcPr>
          <w:p w:rsidR="00F271A3" w:rsidRPr="00A72502" w:rsidRDefault="00F271A3" w:rsidP="00837997">
            <w:pPr>
              <w:pStyle w:val="HTMLPreformatted"/>
              <w:rPr>
                <w:rFonts w:ascii="Arial" w:hAnsi="Arial" w:cs="Arial"/>
                <w:b/>
                <w:color w:val="000000"/>
              </w:rPr>
            </w:pPr>
            <w:r w:rsidRPr="00A72502">
              <w:rPr>
                <w:rFonts w:ascii="Arial" w:hAnsi="Arial" w:cs="Arial"/>
                <w:b/>
                <w:color w:val="000000"/>
              </w:rPr>
              <w:t xml:space="preserve">FTI Consulting </w:t>
            </w:r>
          </w:p>
          <w:p w:rsidR="00F24510" w:rsidRPr="003D4E10" w:rsidRDefault="00F271A3" w:rsidP="00837997">
            <w:pPr>
              <w:pStyle w:val="HTMLPreformatted"/>
              <w:rPr>
                <w:rFonts w:ascii="Arial" w:hAnsi="Arial" w:cs="Arial"/>
                <w:color w:val="000000"/>
              </w:rPr>
            </w:pPr>
            <w:r w:rsidRPr="003D4E10">
              <w:rPr>
                <w:rFonts w:ascii="Arial" w:hAnsi="Arial" w:cs="Arial"/>
                <w:color w:val="000000"/>
              </w:rPr>
              <w:t>Edward Westropp / Georgina Goodhew</w:t>
            </w:r>
          </w:p>
          <w:p w:rsidR="00F271A3" w:rsidRDefault="00F271A3" w:rsidP="003838DC">
            <w:pPr>
              <w:pStyle w:val="HTMLPreformatted"/>
            </w:pPr>
          </w:p>
        </w:tc>
        <w:tc>
          <w:tcPr>
            <w:tcW w:w="3730" w:type="dxa"/>
          </w:tcPr>
          <w:p w:rsidR="00F271A3" w:rsidRDefault="00F271A3" w:rsidP="003838DC">
            <w:pPr>
              <w:pStyle w:val="HTMLPreformatted"/>
              <w:rPr>
                <w:rFonts w:ascii="Arial" w:hAnsi="Arial" w:cs="Arial"/>
                <w:b/>
              </w:rPr>
            </w:pPr>
            <w:r w:rsidRPr="006A63CD">
              <w:rPr>
                <w:rFonts w:ascii="Arial" w:hAnsi="Arial" w:cs="Arial"/>
                <w:color w:val="000000"/>
              </w:rPr>
              <w:t xml:space="preserve">Tel: 020 </w:t>
            </w:r>
            <w:r w:rsidR="00131AF2">
              <w:rPr>
                <w:rFonts w:ascii="Arial" w:hAnsi="Arial" w:cs="Arial"/>
                <w:color w:val="000000"/>
              </w:rPr>
              <w:t>3727 1</w:t>
            </w:r>
            <w:r w:rsidR="003D7D20">
              <w:rPr>
                <w:rFonts w:ascii="Arial" w:hAnsi="Arial" w:cs="Arial"/>
                <w:color w:val="000000"/>
              </w:rPr>
              <w:t>000</w:t>
            </w:r>
          </w:p>
        </w:tc>
      </w:tr>
    </w:tbl>
    <w:p w:rsidR="00F271A3" w:rsidRDefault="00F271A3" w:rsidP="00F271A3">
      <w:pPr>
        <w:rPr>
          <w:rFonts w:ascii="Arial" w:hAnsi="Arial" w:cs="Arial"/>
          <w:sz w:val="20"/>
          <w:szCs w:val="20"/>
        </w:rPr>
      </w:pPr>
    </w:p>
    <w:p w:rsidR="00246828" w:rsidRDefault="00246828" w:rsidP="0072256B">
      <w:pPr>
        <w:rPr>
          <w:rFonts w:ascii="Arial" w:hAnsi="Arial" w:cs="Arial"/>
          <w:b/>
          <w:sz w:val="20"/>
          <w:szCs w:val="20"/>
        </w:rPr>
      </w:pPr>
      <w:r>
        <w:rPr>
          <w:rFonts w:ascii="Arial" w:hAnsi="Arial" w:cs="Arial"/>
          <w:b/>
          <w:sz w:val="20"/>
          <w:szCs w:val="20"/>
        </w:rPr>
        <w:br w:type="page"/>
      </w:r>
    </w:p>
    <w:p w:rsidR="0072256B" w:rsidRPr="00B06AC4" w:rsidRDefault="00ED0AB6" w:rsidP="0072256B">
      <w:pPr>
        <w:rPr>
          <w:rFonts w:ascii="Arial" w:hAnsi="Arial" w:cs="Arial"/>
          <w:b/>
          <w:sz w:val="20"/>
          <w:szCs w:val="20"/>
        </w:rPr>
      </w:pPr>
      <w:r>
        <w:rPr>
          <w:rFonts w:ascii="Arial" w:hAnsi="Arial" w:cs="Arial"/>
          <w:b/>
          <w:sz w:val="20"/>
          <w:szCs w:val="20"/>
        </w:rPr>
        <w:lastRenderedPageBreak/>
        <w:t>Chairman’s Statement 2014</w:t>
      </w:r>
    </w:p>
    <w:p w:rsidR="00ED0AB6" w:rsidRPr="00ED0AB6" w:rsidRDefault="00ED0AB6" w:rsidP="00ED0AB6">
      <w:pPr>
        <w:rPr>
          <w:rFonts w:ascii="Arial" w:hAnsi="Arial" w:cs="Arial"/>
          <w:sz w:val="20"/>
          <w:szCs w:val="20"/>
        </w:rPr>
      </w:pPr>
      <w:r w:rsidRPr="00ED0AB6">
        <w:rPr>
          <w:rFonts w:ascii="Arial" w:hAnsi="Arial" w:cs="Arial"/>
          <w:sz w:val="20"/>
          <w:szCs w:val="20"/>
        </w:rPr>
        <w:t xml:space="preserve">The Group achieved a </w:t>
      </w:r>
      <w:r w:rsidR="00797C10">
        <w:rPr>
          <w:rFonts w:ascii="Arial" w:hAnsi="Arial" w:cs="Arial"/>
          <w:sz w:val="20"/>
          <w:szCs w:val="20"/>
        </w:rPr>
        <w:t>pleasing</w:t>
      </w:r>
      <w:r w:rsidRPr="00ED0AB6">
        <w:rPr>
          <w:rFonts w:ascii="Arial" w:hAnsi="Arial" w:cs="Arial"/>
          <w:sz w:val="20"/>
          <w:szCs w:val="20"/>
        </w:rPr>
        <w:t xml:space="preserve"> trading result for the year with underlying pre-tax profits </w:t>
      </w:r>
      <w:proofErr w:type="gramStart"/>
      <w:r w:rsidRPr="00ED0AB6">
        <w:rPr>
          <w:rFonts w:ascii="Arial" w:hAnsi="Arial" w:cs="Arial"/>
          <w:sz w:val="20"/>
          <w:szCs w:val="20"/>
        </w:rPr>
        <w:t>( before</w:t>
      </w:r>
      <w:proofErr w:type="gramEnd"/>
      <w:r w:rsidRPr="00ED0AB6">
        <w:rPr>
          <w:rFonts w:ascii="Arial" w:hAnsi="Arial" w:cs="Arial"/>
          <w:sz w:val="20"/>
          <w:szCs w:val="20"/>
        </w:rPr>
        <w:t xml:space="preserve"> amortisation and non- trading items</w:t>
      </w:r>
      <w:r>
        <w:rPr>
          <w:rFonts w:ascii="Arial" w:hAnsi="Arial" w:cs="Arial"/>
          <w:sz w:val="20"/>
          <w:szCs w:val="20"/>
        </w:rPr>
        <w:t xml:space="preserve">, </w:t>
      </w:r>
      <w:r w:rsidRPr="003E44EB">
        <w:rPr>
          <w:rFonts w:ascii="Arial" w:hAnsi="Arial" w:cs="Arial"/>
          <w:sz w:val="20"/>
          <w:szCs w:val="20"/>
        </w:rPr>
        <w:t>but including the £0.04 million Group’s share of the joint venture results</w:t>
      </w:r>
      <w:r w:rsidRPr="00ED0AB6">
        <w:rPr>
          <w:rFonts w:ascii="Arial" w:hAnsi="Arial" w:cs="Arial"/>
          <w:sz w:val="20"/>
          <w:szCs w:val="20"/>
        </w:rPr>
        <w:t>) up 10.8% to a record  £3.65</w:t>
      </w:r>
      <w:r>
        <w:rPr>
          <w:rFonts w:ascii="Arial" w:hAnsi="Arial" w:cs="Arial"/>
          <w:sz w:val="20"/>
          <w:szCs w:val="20"/>
        </w:rPr>
        <w:t xml:space="preserve"> </w:t>
      </w:r>
      <w:r w:rsidRPr="00ED0AB6">
        <w:rPr>
          <w:rFonts w:ascii="Arial" w:hAnsi="Arial" w:cs="Arial"/>
          <w:sz w:val="20"/>
          <w:szCs w:val="20"/>
        </w:rPr>
        <w:t>million (</w:t>
      </w:r>
      <w:r w:rsidR="003C69E2">
        <w:rPr>
          <w:rFonts w:ascii="Arial" w:hAnsi="Arial" w:cs="Arial"/>
          <w:i/>
          <w:sz w:val="20"/>
          <w:szCs w:val="20"/>
        </w:rPr>
        <w:t>2013: £3.29</w:t>
      </w:r>
      <w:r w:rsidRPr="00ED0AB6">
        <w:rPr>
          <w:rFonts w:ascii="Arial" w:hAnsi="Arial" w:cs="Arial"/>
          <w:i/>
          <w:sz w:val="20"/>
          <w:szCs w:val="20"/>
        </w:rPr>
        <w:t xml:space="preserve"> million</w:t>
      </w:r>
      <w:r w:rsidRPr="00ED0AB6">
        <w:rPr>
          <w:rFonts w:ascii="Arial" w:hAnsi="Arial" w:cs="Arial"/>
          <w:sz w:val="20"/>
          <w:szCs w:val="20"/>
        </w:rPr>
        <w:t>). Diluted earnings per share based upon underlying profits increased by 3.3% to 22.0p from 21.3p.  Reported earnings per share were 21.1p (</w:t>
      </w:r>
      <w:r w:rsidRPr="003C69E2">
        <w:rPr>
          <w:rFonts w:ascii="Arial" w:hAnsi="Arial" w:cs="Arial"/>
          <w:i/>
          <w:sz w:val="20"/>
          <w:szCs w:val="20"/>
        </w:rPr>
        <w:t>2013</w:t>
      </w:r>
      <w:r w:rsidR="003C69E2">
        <w:rPr>
          <w:rFonts w:ascii="Arial" w:hAnsi="Arial" w:cs="Arial"/>
          <w:i/>
          <w:sz w:val="20"/>
          <w:szCs w:val="20"/>
        </w:rPr>
        <w:t>:</w:t>
      </w:r>
      <w:r w:rsidRPr="003C69E2">
        <w:rPr>
          <w:rFonts w:ascii="Arial" w:hAnsi="Arial" w:cs="Arial"/>
          <w:i/>
          <w:sz w:val="20"/>
          <w:szCs w:val="20"/>
        </w:rPr>
        <w:t xml:space="preserve"> 13.7p</w:t>
      </w:r>
      <w:r w:rsidRPr="00ED0AB6">
        <w:rPr>
          <w:rFonts w:ascii="Arial" w:hAnsi="Arial" w:cs="Arial"/>
          <w:sz w:val="20"/>
          <w:szCs w:val="20"/>
        </w:rPr>
        <w:t>)</w:t>
      </w:r>
      <w:r>
        <w:rPr>
          <w:rFonts w:ascii="Arial" w:hAnsi="Arial" w:cs="Arial"/>
          <w:sz w:val="20"/>
          <w:szCs w:val="20"/>
        </w:rPr>
        <w:t>.</w:t>
      </w:r>
      <w:r w:rsidRPr="00ED0AB6">
        <w:rPr>
          <w:rFonts w:ascii="Arial" w:hAnsi="Arial" w:cs="Arial"/>
          <w:sz w:val="20"/>
          <w:szCs w:val="20"/>
        </w:rPr>
        <w:t xml:space="preserve"> </w:t>
      </w:r>
    </w:p>
    <w:p w:rsidR="00ED0AB6" w:rsidRPr="00ED0AB6" w:rsidRDefault="00ED0AB6" w:rsidP="00ED0AB6">
      <w:pPr>
        <w:rPr>
          <w:rFonts w:ascii="Arial" w:hAnsi="Arial" w:cs="Arial"/>
          <w:sz w:val="20"/>
          <w:szCs w:val="20"/>
        </w:rPr>
      </w:pPr>
      <w:r w:rsidRPr="00ED0AB6">
        <w:rPr>
          <w:rFonts w:ascii="Arial" w:hAnsi="Arial" w:cs="Arial"/>
          <w:sz w:val="20"/>
          <w:szCs w:val="20"/>
        </w:rPr>
        <w:t>The Directors are pleased to recommend a ma</w:t>
      </w:r>
      <w:r w:rsidR="003C69E2">
        <w:rPr>
          <w:rFonts w:ascii="Arial" w:hAnsi="Arial" w:cs="Arial"/>
          <w:sz w:val="20"/>
          <w:szCs w:val="20"/>
        </w:rPr>
        <w:t>intained final dividend of 7.5p</w:t>
      </w:r>
      <w:r w:rsidRPr="00ED0AB6">
        <w:rPr>
          <w:rFonts w:ascii="Arial" w:hAnsi="Arial" w:cs="Arial"/>
          <w:sz w:val="20"/>
          <w:szCs w:val="20"/>
        </w:rPr>
        <w:t xml:space="preserve">, which </w:t>
      </w:r>
      <w:proofErr w:type="gramStart"/>
      <w:r w:rsidR="00401CAA">
        <w:rPr>
          <w:rFonts w:ascii="Arial" w:hAnsi="Arial" w:cs="Arial"/>
          <w:sz w:val="20"/>
          <w:szCs w:val="20"/>
        </w:rPr>
        <w:t xml:space="preserve">makes </w:t>
      </w:r>
      <w:r w:rsidRPr="00ED0AB6">
        <w:rPr>
          <w:rFonts w:ascii="Arial" w:hAnsi="Arial" w:cs="Arial"/>
          <w:sz w:val="20"/>
          <w:szCs w:val="20"/>
        </w:rPr>
        <w:t xml:space="preserve"> the</w:t>
      </w:r>
      <w:proofErr w:type="gramEnd"/>
      <w:r w:rsidRPr="00ED0AB6">
        <w:rPr>
          <w:rFonts w:ascii="Arial" w:hAnsi="Arial" w:cs="Arial"/>
          <w:sz w:val="20"/>
          <w:szCs w:val="20"/>
        </w:rPr>
        <w:t xml:space="preserve"> total divide</w:t>
      </w:r>
      <w:r>
        <w:rPr>
          <w:rFonts w:ascii="Arial" w:hAnsi="Arial" w:cs="Arial"/>
          <w:sz w:val="20"/>
          <w:szCs w:val="20"/>
        </w:rPr>
        <w:t>nd for the year  11.5p (</w:t>
      </w:r>
      <w:r>
        <w:rPr>
          <w:rFonts w:ascii="Arial" w:hAnsi="Arial" w:cs="Arial"/>
          <w:i/>
          <w:sz w:val="20"/>
          <w:szCs w:val="20"/>
        </w:rPr>
        <w:t>2013</w:t>
      </w:r>
      <w:r w:rsidRPr="00ED0AB6">
        <w:rPr>
          <w:rFonts w:ascii="Arial" w:hAnsi="Arial" w:cs="Arial"/>
          <w:i/>
          <w:sz w:val="20"/>
          <w:szCs w:val="20"/>
        </w:rPr>
        <w:t xml:space="preserve"> 11.5p</w:t>
      </w:r>
      <w:r w:rsidRPr="00ED0AB6">
        <w:rPr>
          <w:rFonts w:ascii="Arial" w:hAnsi="Arial" w:cs="Arial"/>
          <w:sz w:val="20"/>
          <w:szCs w:val="20"/>
        </w:rPr>
        <w:t>)</w:t>
      </w:r>
      <w:r w:rsidR="003C69E2">
        <w:rPr>
          <w:rFonts w:ascii="Arial" w:hAnsi="Arial" w:cs="Arial"/>
          <w:sz w:val="20"/>
          <w:szCs w:val="20"/>
        </w:rPr>
        <w:t>.</w:t>
      </w:r>
    </w:p>
    <w:p w:rsidR="00ED0AB6" w:rsidRPr="00ED0AB6" w:rsidRDefault="00ED0AB6" w:rsidP="00ED0AB6">
      <w:pPr>
        <w:rPr>
          <w:rFonts w:ascii="Arial" w:hAnsi="Arial" w:cs="Arial"/>
          <w:sz w:val="20"/>
          <w:szCs w:val="20"/>
        </w:rPr>
      </w:pPr>
      <w:r w:rsidRPr="00ED0AB6">
        <w:rPr>
          <w:rFonts w:ascii="Arial" w:hAnsi="Arial" w:cs="Arial"/>
          <w:sz w:val="20"/>
          <w:szCs w:val="20"/>
        </w:rPr>
        <w:t>The Group’s financial position remains strong and after £5</w:t>
      </w:r>
      <w:r w:rsidR="00914BEC">
        <w:rPr>
          <w:rFonts w:ascii="Arial" w:hAnsi="Arial" w:cs="Arial"/>
          <w:sz w:val="20"/>
          <w:szCs w:val="20"/>
        </w:rPr>
        <w:t xml:space="preserve"> </w:t>
      </w:r>
      <w:r w:rsidRPr="00ED0AB6">
        <w:rPr>
          <w:rFonts w:ascii="Arial" w:hAnsi="Arial" w:cs="Arial"/>
          <w:sz w:val="20"/>
          <w:szCs w:val="20"/>
        </w:rPr>
        <w:t>million of capital expenditure</w:t>
      </w:r>
      <w:r w:rsidR="00797C10">
        <w:rPr>
          <w:rFonts w:ascii="Arial" w:hAnsi="Arial" w:cs="Arial"/>
          <w:sz w:val="20"/>
          <w:szCs w:val="20"/>
        </w:rPr>
        <w:t xml:space="preserve"> </w:t>
      </w:r>
      <w:r w:rsidR="00401CAA">
        <w:rPr>
          <w:rFonts w:ascii="Arial" w:hAnsi="Arial" w:cs="Arial"/>
          <w:sz w:val="20"/>
          <w:szCs w:val="20"/>
        </w:rPr>
        <w:t>of which £2.7million was invested in the Falklands</w:t>
      </w:r>
      <w:r w:rsidR="00734AA2">
        <w:rPr>
          <w:rFonts w:ascii="Arial" w:hAnsi="Arial" w:cs="Arial"/>
          <w:sz w:val="20"/>
          <w:szCs w:val="20"/>
        </w:rPr>
        <w:t>,</w:t>
      </w:r>
      <w:r w:rsidRPr="00ED0AB6">
        <w:rPr>
          <w:rFonts w:ascii="Arial" w:hAnsi="Arial" w:cs="Arial"/>
          <w:sz w:val="20"/>
          <w:szCs w:val="20"/>
        </w:rPr>
        <w:t xml:space="preserve"> </w:t>
      </w:r>
      <w:r w:rsidR="00734AA2">
        <w:rPr>
          <w:rFonts w:ascii="Arial" w:hAnsi="Arial" w:cs="Arial"/>
          <w:sz w:val="20"/>
          <w:szCs w:val="20"/>
        </w:rPr>
        <w:t>c</w:t>
      </w:r>
      <w:r w:rsidRPr="00ED0AB6">
        <w:rPr>
          <w:rFonts w:ascii="Arial" w:hAnsi="Arial" w:cs="Arial"/>
          <w:sz w:val="20"/>
          <w:szCs w:val="20"/>
        </w:rPr>
        <w:t>ash balances at the end of the year were £5.7</w:t>
      </w:r>
      <w:r w:rsidR="00797C10">
        <w:rPr>
          <w:rFonts w:ascii="Arial" w:hAnsi="Arial" w:cs="Arial"/>
          <w:sz w:val="20"/>
          <w:szCs w:val="20"/>
        </w:rPr>
        <w:t xml:space="preserve"> </w:t>
      </w:r>
      <w:r w:rsidRPr="00ED0AB6">
        <w:rPr>
          <w:rFonts w:ascii="Arial" w:hAnsi="Arial" w:cs="Arial"/>
          <w:sz w:val="20"/>
          <w:szCs w:val="20"/>
        </w:rPr>
        <w:t>million, with residual bank debt which will be repaid this year reduced to £1</w:t>
      </w:r>
      <w:r w:rsidR="00797C10">
        <w:rPr>
          <w:rFonts w:ascii="Arial" w:hAnsi="Arial" w:cs="Arial"/>
          <w:sz w:val="20"/>
          <w:szCs w:val="20"/>
        </w:rPr>
        <w:t xml:space="preserve"> </w:t>
      </w:r>
      <w:r w:rsidRPr="00ED0AB6">
        <w:rPr>
          <w:rFonts w:ascii="Arial" w:hAnsi="Arial" w:cs="Arial"/>
          <w:sz w:val="20"/>
          <w:szCs w:val="20"/>
        </w:rPr>
        <w:t xml:space="preserve">million.  The excellent track record and cash generative nature of the Group’s three trading businesses mean that the Group has significant untapped borrowing potential sufficient to fund likely investment </w:t>
      </w:r>
      <w:r w:rsidR="003C69E2">
        <w:rPr>
          <w:rFonts w:ascii="Arial" w:hAnsi="Arial" w:cs="Arial"/>
          <w:sz w:val="20"/>
          <w:szCs w:val="20"/>
        </w:rPr>
        <w:t>requirements in the medium term</w:t>
      </w:r>
      <w:r w:rsidRPr="00ED0AB6">
        <w:rPr>
          <w:rFonts w:ascii="Arial" w:hAnsi="Arial" w:cs="Arial"/>
          <w:sz w:val="20"/>
          <w:szCs w:val="20"/>
        </w:rPr>
        <w:t>.</w:t>
      </w:r>
    </w:p>
    <w:p w:rsidR="00ED0AB6" w:rsidRPr="00ED0AB6" w:rsidRDefault="00ED0AB6" w:rsidP="00ED0AB6">
      <w:pPr>
        <w:rPr>
          <w:rFonts w:ascii="Arial" w:hAnsi="Arial" w:cs="Arial"/>
          <w:b/>
          <w:sz w:val="20"/>
          <w:szCs w:val="20"/>
        </w:rPr>
      </w:pPr>
      <w:r w:rsidRPr="00ED0AB6">
        <w:rPr>
          <w:rFonts w:ascii="Arial" w:hAnsi="Arial" w:cs="Arial"/>
          <w:b/>
          <w:sz w:val="20"/>
          <w:szCs w:val="20"/>
        </w:rPr>
        <w:t>Operations</w:t>
      </w:r>
    </w:p>
    <w:p w:rsidR="00ED0AB6" w:rsidRPr="00ED0AB6" w:rsidRDefault="00ED0AB6" w:rsidP="00ED0AB6">
      <w:pPr>
        <w:jc w:val="both"/>
        <w:rPr>
          <w:rFonts w:ascii="Arial" w:hAnsi="Arial" w:cs="Arial"/>
          <w:sz w:val="20"/>
          <w:szCs w:val="20"/>
        </w:rPr>
      </w:pPr>
      <w:r w:rsidRPr="00ED0AB6">
        <w:rPr>
          <w:rFonts w:ascii="Arial" w:hAnsi="Arial" w:cs="Arial"/>
          <w:sz w:val="20"/>
          <w:szCs w:val="20"/>
        </w:rPr>
        <w:t>Thanks to a substantial</w:t>
      </w:r>
      <w:r w:rsidR="003C69E2">
        <w:rPr>
          <w:rFonts w:ascii="Arial" w:hAnsi="Arial" w:cs="Arial"/>
          <w:sz w:val="20"/>
          <w:szCs w:val="20"/>
        </w:rPr>
        <w:t xml:space="preserve"> increase in profits at </w:t>
      </w:r>
      <w:proofErr w:type="spellStart"/>
      <w:r w:rsidR="003C69E2">
        <w:rPr>
          <w:rFonts w:ascii="Arial" w:hAnsi="Arial" w:cs="Arial"/>
          <w:sz w:val="20"/>
          <w:szCs w:val="20"/>
        </w:rPr>
        <w:t>Momart</w:t>
      </w:r>
      <w:proofErr w:type="spellEnd"/>
      <w:r w:rsidRPr="00ED0AB6">
        <w:rPr>
          <w:rFonts w:ascii="Arial" w:hAnsi="Arial" w:cs="Arial"/>
          <w:sz w:val="20"/>
          <w:szCs w:val="20"/>
        </w:rPr>
        <w:t xml:space="preserve">, Group </w:t>
      </w:r>
      <w:r w:rsidR="004036E9">
        <w:rPr>
          <w:rFonts w:ascii="Arial" w:hAnsi="Arial" w:cs="Arial"/>
          <w:sz w:val="20"/>
          <w:szCs w:val="20"/>
        </w:rPr>
        <w:t xml:space="preserve">underlying </w:t>
      </w:r>
      <w:r w:rsidRPr="00ED0AB6">
        <w:rPr>
          <w:rFonts w:ascii="Arial" w:hAnsi="Arial" w:cs="Arial"/>
          <w:sz w:val="20"/>
          <w:szCs w:val="20"/>
        </w:rPr>
        <w:t>operating profits before tax</w:t>
      </w:r>
      <w:r w:rsidR="004036E9">
        <w:rPr>
          <w:rFonts w:ascii="Arial" w:hAnsi="Arial" w:cs="Arial"/>
          <w:sz w:val="20"/>
          <w:szCs w:val="20"/>
        </w:rPr>
        <w:t xml:space="preserve"> (as defined above)</w:t>
      </w:r>
      <w:r w:rsidRPr="00ED0AB6">
        <w:rPr>
          <w:rFonts w:ascii="Arial" w:hAnsi="Arial" w:cs="Arial"/>
          <w:sz w:val="20"/>
          <w:szCs w:val="20"/>
        </w:rPr>
        <w:t xml:space="preserve"> increased by 10.0% to £3.85</w:t>
      </w:r>
      <w:r>
        <w:rPr>
          <w:rFonts w:ascii="Arial" w:hAnsi="Arial" w:cs="Arial"/>
          <w:sz w:val="20"/>
          <w:szCs w:val="20"/>
        </w:rPr>
        <w:t xml:space="preserve"> </w:t>
      </w:r>
      <w:r w:rsidRPr="00ED0AB6">
        <w:rPr>
          <w:rFonts w:ascii="Arial" w:hAnsi="Arial" w:cs="Arial"/>
          <w:sz w:val="20"/>
          <w:szCs w:val="20"/>
        </w:rPr>
        <w:t>million from £3.5</w:t>
      </w:r>
      <w:r w:rsidR="00734AA2">
        <w:rPr>
          <w:rFonts w:ascii="Arial" w:hAnsi="Arial" w:cs="Arial"/>
          <w:sz w:val="20"/>
          <w:szCs w:val="20"/>
        </w:rPr>
        <w:t>0</w:t>
      </w:r>
      <w:r>
        <w:rPr>
          <w:rFonts w:ascii="Arial" w:hAnsi="Arial" w:cs="Arial"/>
          <w:sz w:val="20"/>
          <w:szCs w:val="20"/>
        </w:rPr>
        <w:t xml:space="preserve"> </w:t>
      </w:r>
      <w:r w:rsidRPr="00ED0AB6">
        <w:rPr>
          <w:rFonts w:ascii="Arial" w:hAnsi="Arial" w:cs="Arial"/>
          <w:sz w:val="20"/>
          <w:szCs w:val="20"/>
        </w:rPr>
        <w:t>million.</w:t>
      </w:r>
    </w:p>
    <w:p w:rsidR="00ED0AB6" w:rsidRPr="00ED0AB6" w:rsidRDefault="00ED0AB6" w:rsidP="00ED0AB6">
      <w:pPr>
        <w:jc w:val="both"/>
        <w:rPr>
          <w:rFonts w:ascii="Arial" w:hAnsi="Arial" w:cs="Arial"/>
          <w:sz w:val="20"/>
          <w:szCs w:val="20"/>
        </w:rPr>
      </w:pPr>
      <w:proofErr w:type="spellStart"/>
      <w:r>
        <w:rPr>
          <w:rFonts w:ascii="Arial" w:hAnsi="Arial" w:cs="Arial"/>
          <w:sz w:val="20"/>
          <w:szCs w:val="20"/>
        </w:rPr>
        <w:t>Momart</w:t>
      </w:r>
      <w:proofErr w:type="spellEnd"/>
      <w:r>
        <w:rPr>
          <w:rFonts w:ascii="Arial" w:hAnsi="Arial" w:cs="Arial"/>
          <w:sz w:val="20"/>
          <w:szCs w:val="20"/>
        </w:rPr>
        <w:t xml:space="preserve"> enjoyed an </w:t>
      </w:r>
      <w:r w:rsidRPr="00ED0AB6">
        <w:rPr>
          <w:rFonts w:ascii="Arial" w:hAnsi="Arial" w:cs="Arial"/>
          <w:sz w:val="20"/>
          <w:szCs w:val="20"/>
        </w:rPr>
        <w:t>excellent year with a 53% increase in contribution to £1.8</w:t>
      </w:r>
      <w:r w:rsidR="00734AA2">
        <w:rPr>
          <w:rFonts w:ascii="Arial" w:hAnsi="Arial" w:cs="Arial"/>
          <w:sz w:val="20"/>
          <w:szCs w:val="20"/>
        </w:rPr>
        <w:t xml:space="preserve"> </w:t>
      </w:r>
      <w:r w:rsidRPr="00ED0AB6">
        <w:rPr>
          <w:rFonts w:ascii="Arial" w:hAnsi="Arial" w:cs="Arial"/>
          <w:sz w:val="20"/>
          <w:szCs w:val="20"/>
        </w:rPr>
        <w:t xml:space="preserve">million as the business benefited </w:t>
      </w:r>
      <w:proofErr w:type="gramStart"/>
      <w:r w:rsidRPr="00ED0AB6">
        <w:rPr>
          <w:rFonts w:ascii="Arial" w:hAnsi="Arial" w:cs="Arial"/>
          <w:sz w:val="20"/>
          <w:szCs w:val="20"/>
        </w:rPr>
        <w:t>from  the</w:t>
      </w:r>
      <w:proofErr w:type="gramEnd"/>
      <w:r w:rsidRPr="00ED0AB6">
        <w:rPr>
          <w:rFonts w:ascii="Arial" w:hAnsi="Arial" w:cs="Arial"/>
          <w:sz w:val="20"/>
          <w:szCs w:val="20"/>
        </w:rPr>
        <w:t xml:space="preserve"> continued strength of</w:t>
      </w:r>
      <w:r w:rsidR="003C69E2">
        <w:rPr>
          <w:rFonts w:ascii="Arial" w:hAnsi="Arial" w:cs="Arial"/>
          <w:sz w:val="20"/>
          <w:szCs w:val="20"/>
        </w:rPr>
        <w:t xml:space="preserve"> the  international art market</w:t>
      </w:r>
      <w:r w:rsidRPr="00ED0AB6">
        <w:rPr>
          <w:rFonts w:ascii="Arial" w:hAnsi="Arial" w:cs="Arial"/>
          <w:sz w:val="20"/>
          <w:szCs w:val="20"/>
        </w:rPr>
        <w:t>. A strong roster of exhibitions and a high level of capacity utilisation for gallery services and st</w:t>
      </w:r>
      <w:r w:rsidR="003C69E2">
        <w:rPr>
          <w:rFonts w:ascii="Arial" w:hAnsi="Arial" w:cs="Arial"/>
          <w:sz w:val="20"/>
          <w:szCs w:val="20"/>
        </w:rPr>
        <w:t>orage resulted in a record year</w:t>
      </w:r>
      <w:r w:rsidRPr="00ED0AB6">
        <w:rPr>
          <w:rFonts w:ascii="Arial" w:hAnsi="Arial" w:cs="Arial"/>
          <w:sz w:val="20"/>
          <w:szCs w:val="20"/>
        </w:rPr>
        <w:t xml:space="preserve">. </w:t>
      </w:r>
    </w:p>
    <w:p w:rsidR="00ED0AB6" w:rsidRPr="00ED0AB6" w:rsidRDefault="00ED0AB6" w:rsidP="00ED0AB6">
      <w:pPr>
        <w:jc w:val="both"/>
        <w:rPr>
          <w:rFonts w:ascii="Arial" w:hAnsi="Arial" w:cs="Arial"/>
          <w:sz w:val="20"/>
          <w:szCs w:val="20"/>
        </w:rPr>
      </w:pPr>
      <w:r w:rsidRPr="00ED0AB6">
        <w:rPr>
          <w:rFonts w:ascii="Arial" w:hAnsi="Arial" w:cs="Arial"/>
          <w:sz w:val="20"/>
          <w:szCs w:val="20"/>
        </w:rPr>
        <w:t>The Portsmouth Harbour Ferry Company maintained its profit at just over £1</w:t>
      </w:r>
      <w:r w:rsidR="00734AA2">
        <w:rPr>
          <w:rFonts w:ascii="Arial" w:hAnsi="Arial" w:cs="Arial"/>
          <w:sz w:val="20"/>
          <w:szCs w:val="20"/>
        </w:rPr>
        <w:t xml:space="preserve">.0 </w:t>
      </w:r>
      <w:r w:rsidRPr="00ED0AB6">
        <w:rPr>
          <w:rFonts w:ascii="Arial" w:hAnsi="Arial" w:cs="Arial"/>
          <w:sz w:val="20"/>
          <w:szCs w:val="20"/>
        </w:rPr>
        <w:t>million.  Passenger numbers saw a significant im</w:t>
      </w:r>
      <w:r w:rsidR="003C69E2">
        <w:rPr>
          <w:rFonts w:ascii="Arial" w:hAnsi="Arial" w:cs="Arial"/>
          <w:sz w:val="20"/>
          <w:szCs w:val="20"/>
        </w:rPr>
        <w:t>provement on the historic trend</w:t>
      </w:r>
      <w:r w:rsidRPr="00ED0AB6">
        <w:rPr>
          <w:rFonts w:ascii="Arial" w:hAnsi="Arial" w:cs="Arial"/>
          <w:sz w:val="20"/>
          <w:szCs w:val="20"/>
        </w:rPr>
        <w:t xml:space="preserve">, experiencing a much smaller decline of 1.6% </w:t>
      </w:r>
      <w:r w:rsidR="00246828">
        <w:rPr>
          <w:rFonts w:ascii="Arial" w:hAnsi="Arial" w:cs="Arial"/>
          <w:sz w:val="20"/>
          <w:szCs w:val="20"/>
        </w:rPr>
        <w:t xml:space="preserve">compared to the </w:t>
      </w:r>
      <w:r w:rsidR="00401CAA">
        <w:rPr>
          <w:rFonts w:ascii="Arial" w:hAnsi="Arial" w:cs="Arial"/>
          <w:sz w:val="20"/>
          <w:szCs w:val="20"/>
        </w:rPr>
        <w:t>8.9</w:t>
      </w:r>
      <w:r w:rsidR="00246828">
        <w:rPr>
          <w:rFonts w:ascii="Arial" w:hAnsi="Arial" w:cs="Arial"/>
          <w:sz w:val="20"/>
          <w:szCs w:val="20"/>
        </w:rPr>
        <w:t>% decline in the prior year,</w:t>
      </w:r>
      <w:r w:rsidRPr="00ED0AB6">
        <w:rPr>
          <w:rFonts w:ascii="Arial" w:hAnsi="Arial" w:cs="Arial"/>
          <w:sz w:val="20"/>
          <w:szCs w:val="20"/>
        </w:rPr>
        <w:t xml:space="preserve"> the impact of which </w:t>
      </w:r>
      <w:r w:rsidR="003C69E2">
        <w:rPr>
          <w:rFonts w:ascii="Arial" w:hAnsi="Arial" w:cs="Arial"/>
          <w:sz w:val="20"/>
          <w:szCs w:val="20"/>
        </w:rPr>
        <w:t>was offset by increased fares</w:t>
      </w:r>
      <w:r w:rsidRPr="00ED0AB6">
        <w:rPr>
          <w:rFonts w:ascii="Arial" w:hAnsi="Arial" w:cs="Arial"/>
          <w:sz w:val="20"/>
          <w:szCs w:val="20"/>
        </w:rPr>
        <w:t>.</w:t>
      </w:r>
    </w:p>
    <w:p w:rsidR="00ED0AB6" w:rsidRPr="00ED0AB6" w:rsidRDefault="00ED0AB6" w:rsidP="00ED0AB6">
      <w:pPr>
        <w:jc w:val="both"/>
        <w:rPr>
          <w:rFonts w:ascii="Arial" w:hAnsi="Arial" w:cs="Arial"/>
          <w:sz w:val="20"/>
          <w:szCs w:val="20"/>
        </w:rPr>
      </w:pPr>
      <w:r w:rsidRPr="00ED0AB6">
        <w:rPr>
          <w:rFonts w:ascii="Arial" w:hAnsi="Arial" w:cs="Arial"/>
          <w:sz w:val="20"/>
          <w:szCs w:val="20"/>
        </w:rPr>
        <w:t>For the first time for three years there was no offshore drilling in Falkland waters. The presence of a drilling rig and associated personnel have provided a substantial stimulus to the economy and generated significant business for the Falkland Islands Company (FIC) in prior years.  The absence of drilling particularly impacted wholesale food sales and property rental income but support services maintained its contribution and construction an</w:t>
      </w:r>
      <w:r w:rsidR="003C69E2">
        <w:rPr>
          <w:rFonts w:ascii="Arial" w:hAnsi="Arial" w:cs="Arial"/>
          <w:sz w:val="20"/>
          <w:szCs w:val="20"/>
        </w:rPr>
        <w:t>d Falkland 4x4 performed well</w:t>
      </w:r>
      <w:r w:rsidRPr="00ED0AB6">
        <w:rPr>
          <w:rFonts w:ascii="Arial" w:hAnsi="Arial" w:cs="Arial"/>
          <w:sz w:val="20"/>
          <w:szCs w:val="20"/>
        </w:rPr>
        <w:t>. There were significant inflationary increases in labour and freight costs which also had an impact</w:t>
      </w:r>
      <w:r w:rsidR="00F90DE7">
        <w:rPr>
          <w:rFonts w:ascii="Arial" w:hAnsi="Arial" w:cs="Arial"/>
          <w:sz w:val="20"/>
          <w:szCs w:val="20"/>
        </w:rPr>
        <w:t xml:space="preserve">. As a </w:t>
      </w:r>
      <w:proofErr w:type="gramStart"/>
      <w:r w:rsidR="00F90DE7">
        <w:rPr>
          <w:rFonts w:ascii="Arial" w:hAnsi="Arial" w:cs="Arial"/>
          <w:sz w:val="20"/>
          <w:szCs w:val="20"/>
        </w:rPr>
        <w:t xml:space="preserve">result </w:t>
      </w:r>
      <w:r w:rsidRPr="00ED0AB6">
        <w:rPr>
          <w:rFonts w:ascii="Arial" w:hAnsi="Arial" w:cs="Arial"/>
          <w:sz w:val="20"/>
          <w:szCs w:val="20"/>
        </w:rPr>
        <w:t xml:space="preserve"> profits</w:t>
      </w:r>
      <w:proofErr w:type="gramEnd"/>
      <w:r w:rsidRPr="00ED0AB6">
        <w:rPr>
          <w:rFonts w:ascii="Arial" w:hAnsi="Arial" w:cs="Arial"/>
          <w:sz w:val="20"/>
          <w:szCs w:val="20"/>
        </w:rPr>
        <w:t xml:space="preserve"> </w:t>
      </w:r>
      <w:r w:rsidR="00246828">
        <w:rPr>
          <w:rFonts w:ascii="Arial" w:hAnsi="Arial" w:cs="Arial"/>
          <w:sz w:val="20"/>
          <w:szCs w:val="20"/>
        </w:rPr>
        <w:t>decreased</w:t>
      </w:r>
      <w:r w:rsidRPr="00ED0AB6">
        <w:rPr>
          <w:rFonts w:ascii="Arial" w:hAnsi="Arial" w:cs="Arial"/>
          <w:sz w:val="20"/>
          <w:szCs w:val="20"/>
        </w:rPr>
        <w:t xml:space="preserve"> to £1.0</w:t>
      </w:r>
      <w:r w:rsidR="00194F34">
        <w:rPr>
          <w:rFonts w:ascii="Arial" w:hAnsi="Arial" w:cs="Arial"/>
          <w:sz w:val="20"/>
          <w:szCs w:val="20"/>
        </w:rPr>
        <w:t xml:space="preserve"> </w:t>
      </w:r>
      <w:r w:rsidRPr="00ED0AB6">
        <w:rPr>
          <w:rFonts w:ascii="Arial" w:hAnsi="Arial" w:cs="Arial"/>
          <w:sz w:val="20"/>
          <w:szCs w:val="20"/>
        </w:rPr>
        <w:t>mil</w:t>
      </w:r>
      <w:r w:rsidR="003C69E2">
        <w:rPr>
          <w:rFonts w:ascii="Arial" w:hAnsi="Arial" w:cs="Arial"/>
          <w:sz w:val="20"/>
          <w:szCs w:val="20"/>
        </w:rPr>
        <w:t>lion from £1.3</w:t>
      </w:r>
      <w:r w:rsidR="00194F34">
        <w:rPr>
          <w:rFonts w:ascii="Arial" w:hAnsi="Arial" w:cs="Arial"/>
          <w:sz w:val="20"/>
          <w:szCs w:val="20"/>
        </w:rPr>
        <w:t xml:space="preserve"> </w:t>
      </w:r>
      <w:r w:rsidR="003C69E2">
        <w:rPr>
          <w:rFonts w:ascii="Arial" w:hAnsi="Arial" w:cs="Arial"/>
          <w:sz w:val="20"/>
          <w:szCs w:val="20"/>
        </w:rPr>
        <w:t>million last year</w:t>
      </w:r>
      <w:r w:rsidRPr="00ED0AB6">
        <w:rPr>
          <w:rFonts w:ascii="Arial" w:hAnsi="Arial" w:cs="Arial"/>
          <w:sz w:val="20"/>
          <w:szCs w:val="20"/>
        </w:rPr>
        <w:t>.</w:t>
      </w:r>
    </w:p>
    <w:p w:rsidR="00ED0AB6" w:rsidRPr="00ED0AB6" w:rsidRDefault="00ED0AB6" w:rsidP="00ED0AB6">
      <w:pPr>
        <w:rPr>
          <w:rFonts w:ascii="Arial" w:hAnsi="Arial" w:cs="Arial"/>
          <w:b/>
          <w:sz w:val="20"/>
          <w:szCs w:val="20"/>
        </w:rPr>
      </w:pPr>
      <w:r w:rsidRPr="00ED0AB6">
        <w:rPr>
          <w:rFonts w:ascii="Arial" w:hAnsi="Arial" w:cs="Arial"/>
          <w:b/>
          <w:sz w:val="20"/>
          <w:szCs w:val="20"/>
        </w:rPr>
        <w:t>Falkland Oil and Gas (FOGL)</w:t>
      </w:r>
    </w:p>
    <w:p w:rsidR="00ED0AB6" w:rsidRPr="00ED0AB6" w:rsidRDefault="00ED0AB6" w:rsidP="00ED0AB6">
      <w:pPr>
        <w:jc w:val="both"/>
        <w:rPr>
          <w:rFonts w:ascii="Arial" w:hAnsi="Arial" w:cs="Arial"/>
          <w:sz w:val="20"/>
          <w:szCs w:val="20"/>
        </w:rPr>
      </w:pPr>
      <w:r w:rsidRPr="00ED0AB6">
        <w:rPr>
          <w:rFonts w:ascii="Arial" w:hAnsi="Arial" w:cs="Arial"/>
          <w:sz w:val="20"/>
          <w:szCs w:val="20"/>
        </w:rPr>
        <w:t xml:space="preserve">The most significant development for FOGL was the acquisition of Desire Petroleum in December 2013 and the subsequent farm out of two of Desire’s licences to Premier Oil and </w:t>
      </w:r>
      <w:proofErr w:type="spellStart"/>
      <w:r w:rsidRPr="00ED0AB6">
        <w:rPr>
          <w:rFonts w:ascii="Arial" w:hAnsi="Arial" w:cs="Arial"/>
          <w:sz w:val="20"/>
          <w:szCs w:val="20"/>
        </w:rPr>
        <w:t>Rockhopper</w:t>
      </w:r>
      <w:proofErr w:type="spellEnd"/>
      <w:r w:rsidR="00401CAA">
        <w:rPr>
          <w:rFonts w:ascii="Arial" w:hAnsi="Arial" w:cs="Arial"/>
          <w:sz w:val="20"/>
          <w:szCs w:val="20"/>
        </w:rPr>
        <w:t xml:space="preserve"> Exploration</w:t>
      </w:r>
      <w:r w:rsidR="00F3451D">
        <w:rPr>
          <w:rFonts w:ascii="Arial" w:hAnsi="Arial" w:cs="Arial"/>
          <w:sz w:val="20"/>
          <w:szCs w:val="20"/>
        </w:rPr>
        <w:t xml:space="preserve">. </w:t>
      </w:r>
      <w:r w:rsidRPr="00ED0AB6">
        <w:rPr>
          <w:rFonts w:ascii="Arial" w:hAnsi="Arial" w:cs="Arial"/>
          <w:sz w:val="20"/>
          <w:szCs w:val="20"/>
        </w:rPr>
        <w:t xml:space="preserve"> We were suppor</w:t>
      </w:r>
      <w:r w:rsidR="003C69E2">
        <w:rPr>
          <w:rFonts w:ascii="Arial" w:hAnsi="Arial" w:cs="Arial"/>
          <w:sz w:val="20"/>
          <w:szCs w:val="20"/>
        </w:rPr>
        <w:t>tive of the Desire transaction</w:t>
      </w:r>
      <w:r w:rsidRPr="00ED0AB6">
        <w:rPr>
          <w:rFonts w:ascii="Arial" w:hAnsi="Arial" w:cs="Arial"/>
          <w:sz w:val="20"/>
          <w:szCs w:val="20"/>
        </w:rPr>
        <w:t>, which gave FOGL exposure to the North Falklan</w:t>
      </w:r>
      <w:r w:rsidR="003C69E2">
        <w:rPr>
          <w:rFonts w:ascii="Arial" w:hAnsi="Arial" w:cs="Arial"/>
          <w:sz w:val="20"/>
          <w:szCs w:val="20"/>
        </w:rPr>
        <w:t>ds Basin and the Sea Lion field</w:t>
      </w:r>
      <w:r w:rsidRPr="00ED0AB6">
        <w:rPr>
          <w:rFonts w:ascii="Arial" w:hAnsi="Arial" w:cs="Arial"/>
          <w:sz w:val="20"/>
          <w:szCs w:val="20"/>
        </w:rPr>
        <w:t xml:space="preserve">. Following these developments FOGL is now the largest licence holder in the Falkland Islands and has a net interest of 40,000 </w:t>
      </w:r>
      <w:proofErr w:type="spellStart"/>
      <w:r w:rsidRPr="00ED0AB6">
        <w:rPr>
          <w:rFonts w:ascii="Arial" w:hAnsi="Arial" w:cs="Arial"/>
          <w:sz w:val="20"/>
          <w:szCs w:val="20"/>
        </w:rPr>
        <w:t>sq</w:t>
      </w:r>
      <w:proofErr w:type="spellEnd"/>
      <w:r w:rsidRPr="00ED0AB6">
        <w:rPr>
          <w:rFonts w:ascii="Arial" w:hAnsi="Arial" w:cs="Arial"/>
          <w:sz w:val="20"/>
          <w:szCs w:val="20"/>
        </w:rPr>
        <w:t xml:space="preserve"> km.</w:t>
      </w:r>
    </w:p>
    <w:p w:rsidR="00ED0AB6" w:rsidRPr="00ED0AB6" w:rsidRDefault="00ED0AB6" w:rsidP="00ED0AB6">
      <w:pPr>
        <w:jc w:val="both"/>
        <w:rPr>
          <w:rFonts w:ascii="Arial" w:hAnsi="Arial" w:cs="Arial"/>
          <w:sz w:val="20"/>
          <w:szCs w:val="20"/>
        </w:rPr>
      </w:pPr>
      <w:r w:rsidRPr="00ED0AB6">
        <w:rPr>
          <w:rFonts w:ascii="Arial" w:hAnsi="Arial" w:cs="Arial"/>
          <w:sz w:val="20"/>
          <w:szCs w:val="20"/>
        </w:rPr>
        <w:t xml:space="preserve">During the year three separate 3D surveys  totalling over 12,000 </w:t>
      </w:r>
      <w:proofErr w:type="spellStart"/>
      <w:r w:rsidRPr="00ED0AB6">
        <w:rPr>
          <w:rFonts w:ascii="Arial" w:hAnsi="Arial" w:cs="Arial"/>
          <w:sz w:val="20"/>
          <w:szCs w:val="20"/>
        </w:rPr>
        <w:t>sq</w:t>
      </w:r>
      <w:proofErr w:type="spellEnd"/>
      <w:r w:rsidRPr="00ED0AB6">
        <w:rPr>
          <w:rFonts w:ascii="Arial" w:hAnsi="Arial" w:cs="Arial"/>
          <w:sz w:val="20"/>
          <w:szCs w:val="20"/>
        </w:rPr>
        <w:t xml:space="preserve"> km was carried out to the S</w:t>
      </w:r>
      <w:r w:rsidR="003C69E2">
        <w:rPr>
          <w:rFonts w:ascii="Arial" w:hAnsi="Arial" w:cs="Arial"/>
          <w:sz w:val="20"/>
          <w:szCs w:val="20"/>
        </w:rPr>
        <w:t>outh and East of the Falklands</w:t>
      </w:r>
      <w:r w:rsidR="00401CAA">
        <w:rPr>
          <w:rFonts w:ascii="Arial" w:hAnsi="Arial" w:cs="Arial"/>
          <w:sz w:val="20"/>
          <w:szCs w:val="20"/>
        </w:rPr>
        <w:t xml:space="preserve"> and </w:t>
      </w:r>
      <w:r w:rsidRPr="00ED0AB6">
        <w:rPr>
          <w:rFonts w:ascii="Arial" w:hAnsi="Arial" w:cs="Arial"/>
          <w:sz w:val="20"/>
          <w:szCs w:val="20"/>
        </w:rPr>
        <w:t xml:space="preserve"> </w:t>
      </w:r>
      <w:r w:rsidR="00401CAA">
        <w:rPr>
          <w:rFonts w:ascii="Arial" w:hAnsi="Arial" w:cs="Arial"/>
          <w:sz w:val="20"/>
          <w:szCs w:val="20"/>
        </w:rPr>
        <w:t>t</w:t>
      </w:r>
      <w:r w:rsidRPr="00ED0AB6">
        <w:rPr>
          <w:rFonts w:ascii="Arial" w:hAnsi="Arial" w:cs="Arial"/>
          <w:sz w:val="20"/>
          <w:szCs w:val="20"/>
        </w:rPr>
        <w:t>he interpretation of these results together with existing seismic and drilling data will inform the choice of targets for the next drilling campaign. This is expected to start in the first half of 2015 and will include five wells in wh</w:t>
      </w:r>
      <w:r w:rsidR="003C69E2">
        <w:rPr>
          <w:rFonts w:ascii="Arial" w:hAnsi="Arial" w:cs="Arial"/>
          <w:sz w:val="20"/>
          <w:szCs w:val="20"/>
        </w:rPr>
        <w:t>ich FOGL will have an interest</w:t>
      </w:r>
      <w:r w:rsidR="00246828">
        <w:rPr>
          <w:rFonts w:ascii="Arial" w:hAnsi="Arial" w:cs="Arial"/>
          <w:sz w:val="20"/>
          <w:szCs w:val="20"/>
        </w:rPr>
        <w:t>;</w:t>
      </w:r>
      <w:r w:rsidRPr="00ED0AB6">
        <w:rPr>
          <w:rFonts w:ascii="Arial" w:hAnsi="Arial" w:cs="Arial"/>
          <w:sz w:val="20"/>
          <w:szCs w:val="20"/>
        </w:rPr>
        <w:t xml:space="preserve"> three in the Sea Lion area and two in the original  acreage to the </w:t>
      </w:r>
      <w:r w:rsidR="003C69E2">
        <w:rPr>
          <w:rFonts w:ascii="Arial" w:hAnsi="Arial" w:cs="Arial"/>
          <w:sz w:val="20"/>
          <w:szCs w:val="20"/>
        </w:rPr>
        <w:t>South and East of the Falklands</w:t>
      </w:r>
      <w:r w:rsidRPr="00ED0AB6">
        <w:rPr>
          <w:rFonts w:ascii="Arial" w:hAnsi="Arial" w:cs="Arial"/>
          <w:sz w:val="20"/>
          <w:szCs w:val="20"/>
        </w:rPr>
        <w:t xml:space="preserve">. </w:t>
      </w:r>
    </w:p>
    <w:p w:rsidR="00ED0AB6" w:rsidRPr="00ED0AB6" w:rsidRDefault="00ED0AB6" w:rsidP="00ED0AB6">
      <w:pPr>
        <w:jc w:val="both"/>
        <w:rPr>
          <w:rFonts w:ascii="Arial" w:hAnsi="Arial" w:cs="Arial"/>
          <w:sz w:val="20"/>
          <w:szCs w:val="20"/>
        </w:rPr>
      </w:pPr>
      <w:r w:rsidRPr="00ED0AB6">
        <w:rPr>
          <w:rFonts w:ascii="Arial" w:hAnsi="Arial" w:cs="Arial"/>
          <w:sz w:val="20"/>
          <w:szCs w:val="20"/>
        </w:rPr>
        <w:t>The market valuation of the Group’s shareholding of 12.8</w:t>
      </w:r>
      <w:r w:rsidR="00F3451D">
        <w:rPr>
          <w:rFonts w:ascii="Arial" w:hAnsi="Arial" w:cs="Arial"/>
          <w:sz w:val="20"/>
          <w:szCs w:val="20"/>
        </w:rPr>
        <w:t>3</w:t>
      </w:r>
      <w:r>
        <w:rPr>
          <w:rFonts w:ascii="Arial" w:hAnsi="Arial" w:cs="Arial"/>
          <w:sz w:val="20"/>
          <w:szCs w:val="20"/>
        </w:rPr>
        <w:t xml:space="preserve"> million shares </w:t>
      </w:r>
      <w:r w:rsidRPr="00ED0AB6">
        <w:rPr>
          <w:rFonts w:ascii="Arial" w:hAnsi="Arial" w:cs="Arial"/>
          <w:sz w:val="20"/>
          <w:szCs w:val="20"/>
        </w:rPr>
        <w:t>was virtually unchanged over the year at £3.3</w:t>
      </w:r>
      <w:r w:rsidR="00F3451D">
        <w:rPr>
          <w:rFonts w:ascii="Arial" w:hAnsi="Arial" w:cs="Arial"/>
          <w:sz w:val="20"/>
          <w:szCs w:val="20"/>
        </w:rPr>
        <w:t xml:space="preserve"> </w:t>
      </w:r>
      <w:r w:rsidRPr="00ED0AB6">
        <w:rPr>
          <w:rFonts w:ascii="Arial" w:hAnsi="Arial" w:cs="Arial"/>
          <w:sz w:val="20"/>
          <w:szCs w:val="20"/>
        </w:rPr>
        <w:t>million with the shares at 25.5p at 31 March 201</w:t>
      </w:r>
      <w:r w:rsidR="003C69E2">
        <w:rPr>
          <w:rFonts w:ascii="Arial" w:hAnsi="Arial" w:cs="Arial"/>
          <w:sz w:val="20"/>
          <w:szCs w:val="20"/>
        </w:rPr>
        <w:t>4 (</w:t>
      </w:r>
      <w:r w:rsidR="003C69E2" w:rsidRPr="004A4E98">
        <w:rPr>
          <w:rFonts w:ascii="Arial" w:hAnsi="Arial" w:cs="Arial"/>
          <w:i/>
          <w:sz w:val="20"/>
          <w:szCs w:val="20"/>
        </w:rPr>
        <w:t>2013</w:t>
      </w:r>
      <w:r w:rsidR="004A4E98">
        <w:rPr>
          <w:rFonts w:ascii="Arial" w:hAnsi="Arial" w:cs="Arial"/>
          <w:i/>
          <w:sz w:val="20"/>
          <w:szCs w:val="20"/>
        </w:rPr>
        <w:t>:</w:t>
      </w:r>
      <w:r w:rsidR="003C69E2" w:rsidRPr="004A4E98">
        <w:rPr>
          <w:rFonts w:ascii="Arial" w:hAnsi="Arial" w:cs="Arial"/>
          <w:i/>
          <w:sz w:val="20"/>
          <w:szCs w:val="20"/>
        </w:rPr>
        <w:t xml:space="preserve"> 26.5p</w:t>
      </w:r>
      <w:r w:rsidR="003C69E2">
        <w:rPr>
          <w:rFonts w:ascii="Arial" w:hAnsi="Arial" w:cs="Arial"/>
          <w:sz w:val="20"/>
          <w:szCs w:val="20"/>
        </w:rPr>
        <w:t>)</w:t>
      </w:r>
      <w:r w:rsidRPr="00ED0AB6">
        <w:rPr>
          <w:rFonts w:ascii="Arial" w:hAnsi="Arial" w:cs="Arial"/>
          <w:sz w:val="20"/>
          <w:szCs w:val="20"/>
        </w:rPr>
        <w:t xml:space="preserve">. </w:t>
      </w:r>
      <w:r w:rsidR="00246828">
        <w:rPr>
          <w:rFonts w:ascii="Arial" w:hAnsi="Arial" w:cs="Arial"/>
          <w:sz w:val="20"/>
          <w:szCs w:val="20"/>
        </w:rPr>
        <w:t xml:space="preserve"> </w:t>
      </w:r>
      <w:r w:rsidRPr="00ED0AB6">
        <w:rPr>
          <w:rFonts w:ascii="Arial" w:hAnsi="Arial" w:cs="Arial"/>
          <w:sz w:val="20"/>
          <w:szCs w:val="20"/>
        </w:rPr>
        <w:t>The shareholding now represents 2.4% of the enlarged sh</w:t>
      </w:r>
      <w:r w:rsidR="003C69E2">
        <w:rPr>
          <w:rFonts w:ascii="Arial" w:hAnsi="Arial" w:cs="Arial"/>
          <w:sz w:val="20"/>
          <w:szCs w:val="20"/>
        </w:rPr>
        <w:t>are capital of FOGL (</w:t>
      </w:r>
      <w:r w:rsidR="003C69E2" w:rsidRPr="004A4E98">
        <w:rPr>
          <w:rFonts w:ascii="Arial" w:hAnsi="Arial" w:cs="Arial"/>
          <w:i/>
          <w:sz w:val="20"/>
          <w:szCs w:val="20"/>
        </w:rPr>
        <w:t>2013</w:t>
      </w:r>
      <w:r w:rsidR="004A4E98" w:rsidRPr="004A4E98">
        <w:rPr>
          <w:rFonts w:ascii="Arial" w:hAnsi="Arial" w:cs="Arial"/>
          <w:i/>
          <w:sz w:val="20"/>
          <w:szCs w:val="20"/>
        </w:rPr>
        <w:t>:</w:t>
      </w:r>
      <w:r w:rsidR="003C69E2" w:rsidRPr="004A4E98">
        <w:rPr>
          <w:rFonts w:ascii="Arial" w:hAnsi="Arial" w:cs="Arial"/>
          <w:i/>
          <w:sz w:val="20"/>
          <w:szCs w:val="20"/>
        </w:rPr>
        <w:t xml:space="preserve"> 4.0%</w:t>
      </w:r>
      <w:r w:rsidR="003C69E2">
        <w:rPr>
          <w:rFonts w:ascii="Arial" w:hAnsi="Arial" w:cs="Arial"/>
          <w:sz w:val="20"/>
          <w:szCs w:val="20"/>
        </w:rPr>
        <w:t>)</w:t>
      </w:r>
      <w:r w:rsidRPr="00ED0AB6">
        <w:rPr>
          <w:rFonts w:ascii="Arial" w:hAnsi="Arial" w:cs="Arial"/>
          <w:sz w:val="20"/>
          <w:szCs w:val="20"/>
        </w:rPr>
        <w:t xml:space="preserve">.  </w:t>
      </w:r>
    </w:p>
    <w:p w:rsidR="00ED0AB6" w:rsidRPr="00ED0AB6" w:rsidRDefault="00ED0AB6" w:rsidP="00ED0AB6">
      <w:pPr>
        <w:jc w:val="both"/>
        <w:rPr>
          <w:rFonts w:ascii="Arial" w:hAnsi="Arial" w:cs="Arial"/>
          <w:sz w:val="20"/>
          <w:szCs w:val="20"/>
        </w:rPr>
      </w:pPr>
      <w:r>
        <w:rPr>
          <w:rFonts w:ascii="Arial" w:hAnsi="Arial" w:cs="Arial"/>
          <w:sz w:val="20"/>
          <w:szCs w:val="20"/>
        </w:rPr>
        <w:t>Over the last decade FOGL</w:t>
      </w:r>
      <w:r w:rsidRPr="00ED0AB6">
        <w:rPr>
          <w:rFonts w:ascii="Arial" w:hAnsi="Arial" w:cs="Arial"/>
          <w:sz w:val="20"/>
          <w:szCs w:val="20"/>
        </w:rPr>
        <w:t>, in whic</w:t>
      </w:r>
      <w:r>
        <w:rPr>
          <w:rFonts w:ascii="Arial" w:hAnsi="Arial" w:cs="Arial"/>
          <w:sz w:val="20"/>
          <w:szCs w:val="20"/>
        </w:rPr>
        <w:t>h we were founding shareholders</w:t>
      </w:r>
      <w:r w:rsidR="00194F34">
        <w:rPr>
          <w:rFonts w:ascii="Arial" w:hAnsi="Arial" w:cs="Arial"/>
          <w:sz w:val="20"/>
          <w:szCs w:val="20"/>
        </w:rPr>
        <w:t>,</w:t>
      </w:r>
      <w:r w:rsidRPr="00ED0AB6">
        <w:rPr>
          <w:rFonts w:ascii="Arial" w:hAnsi="Arial" w:cs="Arial"/>
          <w:sz w:val="20"/>
          <w:szCs w:val="20"/>
        </w:rPr>
        <w:t xml:space="preserve"> has drilled three exploration wells in the Southern and Eastern basins. Although confirming the presence of hydrocarbons</w:t>
      </w:r>
      <w:r w:rsidR="00F3451D">
        <w:rPr>
          <w:rFonts w:ascii="Arial" w:hAnsi="Arial" w:cs="Arial"/>
          <w:sz w:val="20"/>
          <w:szCs w:val="20"/>
        </w:rPr>
        <w:t>,</w:t>
      </w:r>
      <w:r w:rsidRPr="00ED0AB6">
        <w:rPr>
          <w:rFonts w:ascii="Arial" w:hAnsi="Arial" w:cs="Arial"/>
          <w:sz w:val="20"/>
          <w:szCs w:val="20"/>
        </w:rPr>
        <w:t xml:space="preserve"> these wells did not reveal </w:t>
      </w:r>
      <w:proofErr w:type="gramStart"/>
      <w:r w:rsidRPr="00ED0AB6">
        <w:rPr>
          <w:rFonts w:ascii="Arial" w:hAnsi="Arial" w:cs="Arial"/>
          <w:sz w:val="20"/>
          <w:szCs w:val="20"/>
        </w:rPr>
        <w:t>the</w:t>
      </w:r>
      <w:r w:rsidR="00401CAA">
        <w:rPr>
          <w:rFonts w:ascii="Arial" w:hAnsi="Arial" w:cs="Arial"/>
          <w:sz w:val="20"/>
          <w:szCs w:val="20"/>
        </w:rPr>
        <w:t>ir</w:t>
      </w:r>
      <w:r w:rsidRPr="00ED0AB6">
        <w:rPr>
          <w:rFonts w:ascii="Arial" w:hAnsi="Arial" w:cs="Arial"/>
          <w:sz w:val="20"/>
          <w:szCs w:val="20"/>
        </w:rPr>
        <w:t xml:space="preserve">  presence</w:t>
      </w:r>
      <w:proofErr w:type="gramEnd"/>
      <w:r w:rsidRPr="00ED0AB6">
        <w:rPr>
          <w:rFonts w:ascii="Arial" w:hAnsi="Arial" w:cs="Arial"/>
          <w:sz w:val="20"/>
          <w:szCs w:val="20"/>
        </w:rPr>
        <w:t xml:space="preserve"> </w:t>
      </w:r>
      <w:r w:rsidR="003C69E2">
        <w:rPr>
          <w:rFonts w:ascii="Arial" w:hAnsi="Arial" w:cs="Arial"/>
          <w:sz w:val="20"/>
          <w:szCs w:val="20"/>
        </w:rPr>
        <w:t xml:space="preserve"> in commercial quantities</w:t>
      </w:r>
      <w:r w:rsidRPr="00ED0AB6">
        <w:rPr>
          <w:rFonts w:ascii="Arial" w:hAnsi="Arial" w:cs="Arial"/>
          <w:sz w:val="20"/>
          <w:szCs w:val="20"/>
        </w:rPr>
        <w:t xml:space="preserve">.  The 2015 drilling campaign for which FOGL is already funded is FOGL’s most </w:t>
      </w:r>
      <w:r w:rsidRPr="00ED0AB6">
        <w:rPr>
          <w:rFonts w:ascii="Arial" w:hAnsi="Arial" w:cs="Arial"/>
          <w:sz w:val="20"/>
          <w:szCs w:val="20"/>
        </w:rPr>
        <w:lastRenderedPageBreak/>
        <w:t>extensive to date and has th</w:t>
      </w:r>
      <w:r>
        <w:rPr>
          <w:rFonts w:ascii="Arial" w:hAnsi="Arial" w:cs="Arial"/>
          <w:sz w:val="20"/>
          <w:szCs w:val="20"/>
        </w:rPr>
        <w:t>e potential to transform the value of our holding</w:t>
      </w:r>
      <w:r w:rsidRPr="00ED0AB6">
        <w:rPr>
          <w:rFonts w:ascii="Arial" w:hAnsi="Arial" w:cs="Arial"/>
          <w:sz w:val="20"/>
          <w:szCs w:val="20"/>
        </w:rPr>
        <w:t>. In these circumstances your Board currently believes that it is appropriate to retain a significant shareholding until the ou</w:t>
      </w:r>
      <w:r>
        <w:rPr>
          <w:rFonts w:ascii="Arial" w:hAnsi="Arial" w:cs="Arial"/>
          <w:sz w:val="20"/>
          <w:szCs w:val="20"/>
        </w:rPr>
        <w:t>tcome of the programme is known</w:t>
      </w:r>
      <w:r w:rsidRPr="00ED0AB6">
        <w:rPr>
          <w:rFonts w:ascii="Arial" w:hAnsi="Arial" w:cs="Arial"/>
          <w:sz w:val="20"/>
          <w:szCs w:val="20"/>
        </w:rPr>
        <w:t>.</w:t>
      </w:r>
    </w:p>
    <w:p w:rsidR="00ED0AB6" w:rsidRPr="00ED0AB6" w:rsidRDefault="00ED0AB6" w:rsidP="00ED0AB6">
      <w:pPr>
        <w:rPr>
          <w:rFonts w:ascii="Arial" w:hAnsi="Arial" w:cs="Arial"/>
          <w:b/>
          <w:sz w:val="20"/>
          <w:szCs w:val="20"/>
        </w:rPr>
      </w:pPr>
      <w:r w:rsidRPr="00ED0AB6">
        <w:rPr>
          <w:rFonts w:ascii="Arial" w:hAnsi="Arial" w:cs="Arial"/>
          <w:b/>
          <w:sz w:val="20"/>
          <w:szCs w:val="20"/>
        </w:rPr>
        <w:t>Outlook</w:t>
      </w:r>
    </w:p>
    <w:p w:rsidR="00ED0AB6" w:rsidRPr="00ED0AB6" w:rsidRDefault="00ED0AB6" w:rsidP="00ED0AB6">
      <w:pPr>
        <w:rPr>
          <w:rFonts w:ascii="Arial" w:hAnsi="Arial" w:cs="Arial"/>
          <w:sz w:val="20"/>
          <w:szCs w:val="20"/>
        </w:rPr>
      </w:pPr>
      <w:r w:rsidRPr="00ED0AB6">
        <w:rPr>
          <w:rFonts w:ascii="Arial" w:hAnsi="Arial" w:cs="Arial"/>
          <w:sz w:val="20"/>
          <w:szCs w:val="20"/>
        </w:rPr>
        <w:t>We anticipate an increase in economic activity in the Falklands as the next round of drilling approaches</w:t>
      </w:r>
      <w:r w:rsidR="00246828">
        <w:rPr>
          <w:rFonts w:ascii="Arial" w:hAnsi="Arial" w:cs="Arial"/>
          <w:sz w:val="20"/>
          <w:szCs w:val="20"/>
        </w:rPr>
        <w:t>,</w:t>
      </w:r>
      <w:r w:rsidRPr="00ED0AB6">
        <w:rPr>
          <w:rFonts w:ascii="Arial" w:hAnsi="Arial" w:cs="Arial"/>
          <w:sz w:val="20"/>
          <w:szCs w:val="20"/>
        </w:rPr>
        <w:t xml:space="preserve"> but it will be the funding of the Sea Lion development which will trigger a step change in activity.  Meanwhile we will continue to invest in modernising </w:t>
      </w:r>
      <w:proofErr w:type="gramStart"/>
      <w:r w:rsidR="00194F34">
        <w:rPr>
          <w:rFonts w:ascii="Arial" w:hAnsi="Arial" w:cs="Arial"/>
          <w:sz w:val="20"/>
          <w:szCs w:val="20"/>
        </w:rPr>
        <w:t>FIC</w:t>
      </w:r>
      <w:r w:rsidRPr="00ED0AB6">
        <w:rPr>
          <w:rFonts w:ascii="Arial" w:hAnsi="Arial" w:cs="Arial"/>
          <w:sz w:val="20"/>
          <w:szCs w:val="20"/>
        </w:rPr>
        <w:t xml:space="preserve">  in</w:t>
      </w:r>
      <w:proofErr w:type="gramEnd"/>
      <w:r w:rsidRPr="00ED0AB6">
        <w:rPr>
          <w:rFonts w:ascii="Arial" w:hAnsi="Arial" w:cs="Arial"/>
          <w:sz w:val="20"/>
          <w:szCs w:val="20"/>
        </w:rPr>
        <w:t xml:space="preserve"> readiness for future growth. </w:t>
      </w:r>
      <w:r w:rsidR="00194F34">
        <w:rPr>
          <w:rFonts w:ascii="Arial" w:hAnsi="Arial" w:cs="Arial"/>
          <w:sz w:val="20"/>
          <w:szCs w:val="20"/>
        </w:rPr>
        <w:t xml:space="preserve"> </w:t>
      </w:r>
      <w:r w:rsidRPr="00ED0AB6">
        <w:rPr>
          <w:rFonts w:ascii="Arial" w:hAnsi="Arial" w:cs="Arial"/>
          <w:sz w:val="20"/>
          <w:szCs w:val="20"/>
        </w:rPr>
        <w:t>For the current year</w:t>
      </w:r>
      <w:r w:rsidR="00194F34">
        <w:rPr>
          <w:rFonts w:ascii="Arial" w:hAnsi="Arial" w:cs="Arial"/>
          <w:sz w:val="20"/>
          <w:szCs w:val="20"/>
        </w:rPr>
        <w:t>,</w:t>
      </w:r>
      <w:r w:rsidRPr="00ED0AB6">
        <w:rPr>
          <w:rFonts w:ascii="Arial" w:hAnsi="Arial" w:cs="Arial"/>
          <w:sz w:val="20"/>
          <w:szCs w:val="20"/>
        </w:rPr>
        <w:t xml:space="preserve"> the fishing season started well and we expect further progress from our construction business.</w:t>
      </w:r>
    </w:p>
    <w:p w:rsidR="00ED0AB6" w:rsidRPr="00ED0AB6" w:rsidRDefault="00ED0AB6" w:rsidP="00ED0AB6">
      <w:pPr>
        <w:rPr>
          <w:rFonts w:ascii="Arial" w:hAnsi="Arial" w:cs="Arial"/>
          <w:sz w:val="20"/>
          <w:szCs w:val="20"/>
        </w:rPr>
      </w:pPr>
      <w:r>
        <w:rPr>
          <w:rFonts w:ascii="Arial" w:hAnsi="Arial" w:cs="Arial"/>
          <w:sz w:val="20"/>
          <w:szCs w:val="20"/>
        </w:rPr>
        <w:t xml:space="preserve">At </w:t>
      </w:r>
      <w:proofErr w:type="spellStart"/>
      <w:r>
        <w:rPr>
          <w:rFonts w:ascii="Arial" w:hAnsi="Arial" w:cs="Arial"/>
          <w:sz w:val="20"/>
          <w:szCs w:val="20"/>
        </w:rPr>
        <w:t>Momart</w:t>
      </w:r>
      <w:proofErr w:type="spellEnd"/>
      <w:r w:rsidR="00246828">
        <w:rPr>
          <w:rFonts w:ascii="Arial" w:hAnsi="Arial" w:cs="Arial"/>
          <w:sz w:val="20"/>
          <w:szCs w:val="20"/>
        </w:rPr>
        <w:t>,</w:t>
      </w:r>
      <w:r w:rsidRPr="00ED0AB6">
        <w:rPr>
          <w:rFonts w:ascii="Arial" w:hAnsi="Arial" w:cs="Arial"/>
          <w:sz w:val="20"/>
          <w:szCs w:val="20"/>
        </w:rPr>
        <w:t xml:space="preserve"> the pipeline of exhibition work remains strong but we are unlikely to </w:t>
      </w:r>
      <w:r w:rsidR="00BF2805">
        <w:rPr>
          <w:rFonts w:ascii="Arial" w:hAnsi="Arial" w:cs="Arial"/>
          <w:sz w:val="20"/>
          <w:szCs w:val="20"/>
        </w:rPr>
        <w:t>repeat</w:t>
      </w:r>
      <w:r w:rsidRPr="00ED0AB6">
        <w:rPr>
          <w:rFonts w:ascii="Arial" w:hAnsi="Arial" w:cs="Arial"/>
          <w:sz w:val="20"/>
          <w:szCs w:val="20"/>
        </w:rPr>
        <w:t xml:space="preserve"> the </w:t>
      </w:r>
      <w:r w:rsidR="00BF2805">
        <w:rPr>
          <w:rFonts w:ascii="Arial" w:hAnsi="Arial" w:cs="Arial"/>
          <w:sz w:val="20"/>
          <w:szCs w:val="20"/>
        </w:rPr>
        <w:t xml:space="preserve">exceptional </w:t>
      </w:r>
      <w:r w:rsidRPr="00ED0AB6">
        <w:rPr>
          <w:rFonts w:ascii="Arial" w:hAnsi="Arial" w:cs="Arial"/>
          <w:sz w:val="20"/>
          <w:szCs w:val="20"/>
        </w:rPr>
        <w:t>result experi</w:t>
      </w:r>
      <w:r w:rsidR="003C69E2">
        <w:rPr>
          <w:rFonts w:ascii="Arial" w:hAnsi="Arial" w:cs="Arial"/>
          <w:sz w:val="20"/>
          <w:szCs w:val="20"/>
        </w:rPr>
        <w:t>enced this year</w:t>
      </w:r>
      <w:r>
        <w:rPr>
          <w:rFonts w:ascii="Arial" w:hAnsi="Arial" w:cs="Arial"/>
          <w:sz w:val="20"/>
          <w:szCs w:val="20"/>
        </w:rPr>
        <w:t xml:space="preserve">. </w:t>
      </w:r>
      <w:r w:rsidR="00246828">
        <w:rPr>
          <w:rFonts w:ascii="Arial" w:hAnsi="Arial" w:cs="Arial"/>
          <w:sz w:val="20"/>
          <w:szCs w:val="20"/>
        </w:rPr>
        <w:t xml:space="preserve"> </w:t>
      </w:r>
      <w:r w:rsidR="00914BEC">
        <w:rPr>
          <w:rFonts w:ascii="Arial" w:hAnsi="Arial" w:cs="Arial"/>
          <w:sz w:val="20"/>
          <w:szCs w:val="20"/>
        </w:rPr>
        <w:t>A</w:t>
      </w:r>
      <w:r>
        <w:rPr>
          <w:rFonts w:ascii="Arial" w:hAnsi="Arial" w:cs="Arial"/>
          <w:sz w:val="20"/>
          <w:szCs w:val="20"/>
        </w:rPr>
        <w:t xml:space="preserve"> number of</w:t>
      </w:r>
      <w:r w:rsidRPr="00ED0AB6">
        <w:rPr>
          <w:rFonts w:ascii="Arial" w:hAnsi="Arial" w:cs="Arial"/>
          <w:sz w:val="20"/>
          <w:szCs w:val="20"/>
        </w:rPr>
        <w:t xml:space="preserve"> opportunities are being explored to increase the capacity of the business to meet customer demand. </w:t>
      </w:r>
    </w:p>
    <w:p w:rsidR="00ED0AB6" w:rsidRPr="00ED0AB6" w:rsidRDefault="00ED0AB6" w:rsidP="00ED0AB6">
      <w:pPr>
        <w:rPr>
          <w:rFonts w:ascii="Arial" w:hAnsi="Arial" w:cs="Arial"/>
          <w:sz w:val="20"/>
          <w:szCs w:val="20"/>
        </w:rPr>
      </w:pPr>
      <w:r>
        <w:rPr>
          <w:rFonts w:ascii="Arial" w:hAnsi="Arial" w:cs="Arial"/>
          <w:sz w:val="20"/>
          <w:szCs w:val="20"/>
        </w:rPr>
        <w:t>For PHFC,</w:t>
      </w:r>
      <w:r w:rsidRPr="00ED0AB6">
        <w:rPr>
          <w:rFonts w:ascii="Arial" w:hAnsi="Arial" w:cs="Arial"/>
          <w:sz w:val="20"/>
          <w:szCs w:val="20"/>
        </w:rPr>
        <w:t xml:space="preserve"> there are encouraging signs of an improving trend in demand and the changes agreed </w:t>
      </w:r>
      <w:r w:rsidR="00BF2805">
        <w:rPr>
          <w:rFonts w:ascii="Arial" w:hAnsi="Arial" w:cs="Arial"/>
          <w:sz w:val="20"/>
          <w:szCs w:val="20"/>
        </w:rPr>
        <w:t>with</w:t>
      </w:r>
      <w:r w:rsidRPr="00ED0AB6">
        <w:rPr>
          <w:rFonts w:ascii="Arial" w:hAnsi="Arial" w:cs="Arial"/>
          <w:sz w:val="20"/>
          <w:szCs w:val="20"/>
        </w:rPr>
        <w:t xml:space="preserve"> the Ministry of Defence for the reimbursement of travel expenses on the f</w:t>
      </w:r>
      <w:r w:rsidR="003C69E2">
        <w:rPr>
          <w:rFonts w:ascii="Arial" w:hAnsi="Arial" w:cs="Arial"/>
          <w:sz w:val="20"/>
          <w:szCs w:val="20"/>
        </w:rPr>
        <w:t>erry augur well for the future</w:t>
      </w:r>
      <w:r w:rsidRPr="00ED0AB6">
        <w:rPr>
          <w:rFonts w:ascii="Arial" w:hAnsi="Arial" w:cs="Arial"/>
          <w:sz w:val="20"/>
          <w:szCs w:val="20"/>
        </w:rPr>
        <w:t xml:space="preserve">.  Good progress is being made with the </w:t>
      </w:r>
      <w:r w:rsidR="003C69E2">
        <w:rPr>
          <w:rFonts w:ascii="Arial" w:hAnsi="Arial" w:cs="Arial"/>
          <w:sz w:val="20"/>
          <w:szCs w:val="20"/>
        </w:rPr>
        <w:t>construction of our new ferry, Harbour Spirit</w:t>
      </w:r>
      <w:r w:rsidRPr="00ED0AB6">
        <w:rPr>
          <w:rFonts w:ascii="Arial" w:hAnsi="Arial" w:cs="Arial"/>
          <w:sz w:val="20"/>
          <w:szCs w:val="20"/>
        </w:rPr>
        <w:t>, which we expect to introduce into service early in 2015.</w:t>
      </w:r>
    </w:p>
    <w:p w:rsidR="00ED0AB6" w:rsidRPr="00ED0AB6" w:rsidRDefault="00ED0AB6" w:rsidP="00ED0AB6">
      <w:pPr>
        <w:rPr>
          <w:rFonts w:ascii="Arial" w:hAnsi="Arial" w:cs="Arial"/>
          <w:sz w:val="20"/>
          <w:szCs w:val="20"/>
        </w:rPr>
      </w:pPr>
      <w:r w:rsidRPr="00ED0AB6">
        <w:rPr>
          <w:rFonts w:ascii="Arial" w:hAnsi="Arial" w:cs="Arial"/>
          <w:sz w:val="20"/>
          <w:szCs w:val="20"/>
        </w:rPr>
        <w:t>In the year to date, the Group’s trading performance is in line with our expectations and we</w:t>
      </w:r>
      <w:r w:rsidR="003C69E2">
        <w:rPr>
          <w:rFonts w:ascii="Arial" w:hAnsi="Arial" w:cs="Arial"/>
          <w:sz w:val="20"/>
          <w:szCs w:val="20"/>
        </w:rPr>
        <w:t xml:space="preserve"> anticipate a satisfactory year</w:t>
      </w:r>
      <w:r w:rsidRPr="00ED0AB6">
        <w:rPr>
          <w:rFonts w:ascii="Arial" w:hAnsi="Arial" w:cs="Arial"/>
          <w:sz w:val="20"/>
          <w:szCs w:val="20"/>
        </w:rPr>
        <w:t>. Looking further ahead we continue to believe that we have an outstanding business opportunity in the Falkland Islands.</w:t>
      </w:r>
    </w:p>
    <w:p w:rsidR="0072256B" w:rsidRPr="003838DC" w:rsidRDefault="0072256B" w:rsidP="0072256B">
      <w:pPr>
        <w:jc w:val="both"/>
        <w:rPr>
          <w:rFonts w:ascii="Arial" w:hAnsi="Arial" w:cs="Arial"/>
          <w:b/>
          <w:sz w:val="20"/>
          <w:szCs w:val="20"/>
        </w:rPr>
      </w:pPr>
      <w:r w:rsidRPr="003838DC">
        <w:rPr>
          <w:rFonts w:ascii="Arial" w:hAnsi="Arial" w:cs="Arial"/>
          <w:b/>
          <w:sz w:val="20"/>
          <w:szCs w:val="20"/>
        </w:rPr>
        <w:t>David Hudd</w:t>
      </w:r>
    </w:p>
    <w:p w:rsidR="00651307" w:rsidRPr="00F535C3" w:rsidRDefault="0072256B" w:rsidP="00195237">
      <w:pPr>
        <w:jc w:val="both"/>
        <w:rPr>
          <w:rFonts w:ascii="Arial" w:hAnsi="Arial" w:cs="Arial"/>
          <w:sz w:val="20"/>
          <w:szCs w:val="20"/>
        </w:rPr>
      </w:pPr>
      <w:r w:rsidRPr="00F535C3">
        <w:rPr>
          <w:rFonts w:ascii="Arial" w:hAnsi="Arial" w:cs="Arial"/>
          <w:sz w:val="20"/>
          <w:szCs w:val="20"/>
        </w:rPr>
        <w:t>Chairman</w:t>
      </w:r>
    </w:p>
    <w:p w:rsidR="00367AFF" w:rsidRDefault="00367AFF">
      <w:pPr>
        <w:spacing w:after="0" w:line="240" w:lineRule="auto"/>
        <w:rPr>
          <w:rFonts w:ascii="Arial" w:hAnsi="Arial" w:cs="Arial"/>
          <w:b/>
          <w:bCs/>
          <w:sz w:val="20"/>
          <w:szCs w:val="20"/>
        </w:rPr>
      </w:pPr>
      <w:r>
        <w:rPr>
          <w:rFonts w:ascii="Arial" w:hAnsi="Arial" w:cs="Arial"/>
          <w:b/>
          <w:bCs/>
          <w:sz w:val="20"/>
          <w:szCs w:val="20"/>
        </w:rPr>
        <w:br w:type="page"/>
      </w:r>
    </w:p>
    <w:p w:rsidR="00367AFF" w:rsidRDefault="00367AFF" w:rsidP="00367AFF">
      <w:pPr>
        <w:widowControl w:val="0"/>
        <w:autoSpaceDE w:val="0"/>
        <w:autoSpaceDN w:val="0"/>
        <w:adjustRightInd w:val="0"/>
        <w:rPr>
          <w:rFonts w:ascii="Arial" w:hAnsi="Arial" w:cs="Arial"/>
          <w:b/>
          <w:bCs/>
          <w:sz w:val="20"/>
          <w:szCs w:val="20"/>
        </w:rPr>
      </w:pPr>
      <w:r w:rsidRPr="00E131E9">
        <w:rPr>
          <w:rFonts w:ascii="Arial" w:hAnsi="Arial" w:cs="Arial"/>
          <w:b/>
          <w:bCs/>
          <w:sz w:val="20"/>
          <w:szCs w:val="20"/>
        </w:rPr>
        <w:lastRenderedPageBreak/>
        <w:t xml:space="preserve">Managing Director’s </w:t>
      </w:r>
      <w:r>
        <w:rPr>
          <w:rFonts w:ascii="Arial" w:hAnsi="Arial" w:cs="Arial"/>
          <w:b/>
          <w:bCs/>
          <w:sz w:val="20"/>
          <w:szCs w:val="20"/>
        </w:rPr>
        <w:t xml:space="preserve">Strategic Report </w:t>
      </w:r>
    </w:p>
    <w:p w:rsidR="00367AFF" w:rsidRPr="00E131E9" w:rsidRDefault="00367AFF" w:rsidP="00367AFF">
      <w:pPr>
        <w:widowControl w:val="0"/>
        <w:autoSpaceDE w:val="0"/>
        <w:autoSpaceDN w:val="0"/>
        <w:adjustRightInd w:val="0"/>
        <w:rPr>
          <w:rFonts w:ascii="Arial" w:hAnsi="Arial" w:cs="Arial"/>
          <w:sz w:val="20"/>
          <w:szCs w:val="20"/>
        </w:rPr>
      </w:pPr>
      <w:r w:rsidRPr="00E131E9">
        <w:rPr>
          <w:rFonts w:ascii="Arial" w:hAnsi="Arial" w:cs="Arial"/>
          <w:b/>
          <w:bCs/>
          <w:sz w:val="20"/>
          <w:szCs w:val="20"/>
        </w:rPr>
        <w:t xml:space="preserve">Business Review </w:t>
      </w:r>
    </w:p>
    <w:p w:rsidR="00367AFF" w:rsidRPr="00E131E9" w:rsidRDefault="00367AFF" w:rsidP="00367AFF">
      <w:pPr>
        <w:widowControl w:val="0"/>
        <w:autoSpaceDE w:val="0"/>
        <w:autoSpaceDN w:val="0"/>
        <w:adjustRightInd w:val="0"/>
        <w:rPr>
          <w:rFonts w:ascii="Arial" w:hAnsi="Arial" w:cs="Arial"/>
          <w:sz w:val="20"/>
          <w:szCs w:val="20"/>
        </w:rPr>
      </w:pPr>
      <w:r w:rsidRPr="00E131E9">
        <w:rPr>
          <w:rFonts w:ascii="Arial" w:hAnsi="Arial" w:cs="Arial"/>
          <w:b/>
          <w:bCs/>
          <w:sz w:val="20"/>
          <w:szCs w:val="20"/>
        </w:rPr>
        <w:t>Group Overview</w:t>
      </w:r>
    </w:p>
    <w:p w:rsidR="00367AFF" w:rsidRPr="00E131E9" w:rsidRDefault="00367AFF" w:rsidP="00367AFF">
      <w:pPr>
        <w:widowControl w:val="0"/>
        <w:overflowPunct w:val="0"/>
        <w:autoSpaceDE w:val="0"/>
        <w:autoSpaceDN w:val="0"/>
        <w:adjustRightInd w:val="0"/>
        <w:ind w:right="-46"/>
        <w:jc w:val="both"/>
        <w:rPr>
          <w:rFonts w:ascii="Arial" w:hAnsi="Arial" w:cs="Arial"/>
          <w:sz w:val="20"/>
          <w:szCs w:val="20"/>
        </w:rPr>
      </w:pPr>
      <w:r w:rsidRPr="00E131E9">
        <w:rPr>
          <w:rFonts w:ascii="Arial" w:hAnsi="Arial" w:cs="Arial"/>
          <w:sz w:val="20"/>
          <w:szCs w:val="20"/>
        </w:rPr>
        <w:t xml:space="preserve">I am pleased to report another </w:t>
      </w:r>
      <w:r>
        <w:rPr>
          <w:rFonts w:ascii="Arial" w:hAnsi="Arial" w:cs="Arial"/>
          <w:sz w:val="20"/>
          <w:szCs w:val="20"/>
        </w:rPr>
        <w:t xml:space="preserve">year of progress </w:t>
      </w:r>
      <w:r w:rsidRPr="00E131E9">
        <w:rPr>
          <w:rFonts w:ascii="Arial" w:hAnsi="Arial" w:cs="Arial"/>
          <w:sz w:val="20"/>
          <w:szCs w:val="20"/>
        </w:rPr>
        <w:t>for the Group, with a</w:t>
      </w:r>
      <w:r>
        <w:rPr>
          <w:rFonts w:ascii="Arial" w:hAnsi="Arial" w:cs="Arial"/>
          <w:sz w:val="20"/>
          <w:szCs w:val="20"/>
        </w:rPr>
        <w:t>n encouraging 7</w:t>
      </w:r>
      <w:r w:rsidRPr="00E131E9">
        <w:rPr>
          <w:rFonts w:ascii="Arial" w:hAnsi="Arial" w:cs="Arial"/>
          <w:sz w:val="20"/>
          <w:szCs w:val="20"/>
        </w:rPr>
        <w:t>.</w:t>
      </w:r>
      <w:r>
        <w:rPr>
          <w:rFonts w:ascii="Arial" w:hAnsi="Arial" w:cs="Arial"/>
          <w:sz w:val="20"/>
          <w:szCs w:val="20"/>
        </w:rPr>
        <w:t>5</w:t>
      </w:r>
      <w:r w:rsidRPr="00E131E9">
        <w:rPr>
          <w:rFonts w:ascii="Arial" w:hAnsi="Arial" w:cs="Arial"/>
          <w:sz w:val="20"/>
          <w:szCs w:val="20"/>
        </w:rPr>
        <w:t>% increase in revenues</w:t>
      </w:r>
      <w:r>
        <w:rPr>
          <w:rFonts w:ascii="Arial" w:hAnsi="Arial" w:cs="Arial"/>
          <w:sz w:val="20"/>
          <w:szCs w:val="20"/>
        </w:rPr>
        <w:t xml:space="preserve"> </w:t>
      </w:r>
      <w:r w:rsidRPr="00E131E9">
        <w:rPr>
          <w:rFonts w:ascii="Arial" w:hAnsi="Arial" w:cs="Arial"/>
          <w:sz w:val="20"/>
          <w:szCs w:val="20"/>
        </w:rPr>
        <w:t>to £3</w:t>
      </w:r>
      <w:r>
        <w:rPr>
          <w:rFonts w:ascii="Arial" w:hAnsi="Arial" w:cs="Arial"/>
          <w:sz w:val="20"/>
          <w:szCs w:val="20"/>
        </w:rPr>
        <w:t>8.3</w:t>
      </w:r>
      <w:r w:rsidRPr="00E131E9">
        <w:rPr>
          <w:rFonts w:ascii="Arial" w:hAnsi="Arial" w:cs="Arial"/>
          <w:sz w:val="20"/>
          <w:szCs w:val="20"/>
        </w:rPr>
        <w:t xml:space="preserve"> million (</w:t>
      </w:r>
      <w:r w:rsidRPr="00A33751">
        <w:rPr>
          <w:rFonts w:ascii="Arial" w:hAnsi="Arial" w:cs="Arial"/>
          <w:i/>
          <w:sz w:val="20"/>
          <w:szCs w:val="20"/>
        </w:rPr>
        <w:t>2013: £35.6 million</w:t>
      </w:r>
      <w:r w:rsidRPr="00E131E9">
        <w:rPr>
          <w:rFonts w:ascii="Arial" w:hAnsi="Arial" w:cs="Arial"/>
          <w:sz w:val="20"/>
          <w:szCs w:val="20"/>
        </w:rPr>
        <w:t xml:space="preserve">) and a </w:t>
      </w:r>
      <w:r>
        <w:rPr>
          <w:rFonts w:ascii="Arial" w:hAnsi="Arial" w:cs="Arial"/>
          <w:sz w:val="20"/>
          <w:szCs w:val="20"/>
        </w:rPr>
        <w:t>10.8</w:t>
      </w:r>
      <w:r w:rsidRPr="00E131E9">
        <w:rPr>
          <w:rFonts w:ascii="Arial" w:hAnsi="Arial" w:cs="Arial"/>
          <w:sz w:val="20"/>
          <w:szCs w:val="20"/>
        </w:rPr>
        <w:t>% increase in underlying pre</w:t>
      </w:r>
      <w:r>
        <w:rPr>
          <w:rFonts w:ascii="Arial" w:hAnsi="Arial" w:cs="Arial"/>
          <w:sz w:val="20"/>
          <w:szCs w:val="20"/>
        </w:rPr>
        <w:t>-</w:t>
      </w:r>
      <w:r w:rsidRPr="00E131E9">
        <w:rPr>
          <w:rFonts w:ascii="Arial" w:hAnsi="Arial" w:cs="Arial"/>
          <w:sz w:val="20"/>
          <w:szCs w:val="20"/>
        </w:rPr>
        <w:t>tax profits to £3.</w:t>
      </w:r>
      <w:r>
        <w:rPr>
          <w:rFonts w:ascii="Arial" w:hAnsi="Arial" w:cs="Arial"/>
          <w:sz w:val="20"/>
          <w:szCs w:val="20"/>
        </w:rPr>
        <w:t>65</w:t>
      </w:r>
      <w:r w:rsidRPr="00E131E9">
        <w:rPr>
          <w:rFonts w:ascii="Arial" w:hAnsi="Arial" w:cs="Arial"/>
          <w:sz w:val="20"/>
          <w:szCs w:val="20"/>
        </w:rPr>
        <w:t xml:space="preserve"> million </w:t>
      </w:r>
      <w:r w:rsidRPr="00E131E9">
        <w:rPr>
          <w:rFonts w:ascii="Arial" w:hAnsi="Arial" w:cs="Arial"/>
          <w:i/>
          <w:iCs/>
          <w:sz w:val="20"/>
          <w:szCs w:val="20"/>
        </w:rPr>
        <w:t>(201</w:t>
      </w:r>
      <w:r>
        <w:rPr>
          <w:rFonts w:ascii="Arial" w:hAnsi="Arial" w:cs="Arial"/>
          <w:i/>
          <w:iCs/>
          <w:sz w:val="20"/>
          <w:szCs w:val="20"/>
        </w:rPr>
        <w:t>3</w:t>
      </w:r>
      <w:r w:rsidRPr="00E131E9">
        <w:rPr>
          <w:rFonts w:ascii="Arial" w:hAnsi="Arial" w:cs="Arial"/>
          <w:i/>
          <w:iCs/>
          <w:sz w:val="20"/>
          <w:szCs w:val="20"/>
        </w:rPr>
        <w:t>: £3.2</w:t>
      </w:r>
      <w:r>
        <w:rPr>
          <w:rFonts w:ascii="Arial" w:hAnsi="Arial" w:cs="Arial"/>
          <w:i/>
          <w:iCs/>
          <w:sz w:val="20"/>
          <w:szCs w:val="20"/>
        </w:rPr>
        <w:t>9</w:t>
      </w:r>
      <w:r w:rsidRPr="00E131E9">
        <w:rPr>
          <w:rFonts w:ascii="Arial" w:hAnsi="Arial" w:cs="Arial"/>
          <w:i/>
          <w:iCs/>
          <w:sz w:val="20"/>
          <w:szCs w:val="20"/>
        </w:rPr>
        <w:t xml:space="preserve"> million)</w:t>
      </w:r>
      <w:r w:rsidRPr="00E131E9">
        <w:rPr>
          <w:rFonts w:ascii="Arial" w:hAnsi="Arial" w:cs="Arial"/>
          <w:sz w:val="20"/>
          <w:szCs w:val="20"/>
        </w:rPr>
        <w:t>.</w:t>
      </w:r>
    </w:p>
    <w:p w:rsidR="00367AFF" w:rsidRPr="00E131E9" w:rsidRDefault="00367AFF" w:rsidP="00367AFF">
      <w:pPr>
        <w:widowControl w:val="0"/>
        <w:overflowPunct w:val="0"/>
        <w:autoSpaceDE w:val="0"/>
        <w:autoSpaceDN w:val="0"/>
        <w:adjustRightInd w:val="0"/>
        <w:ind w:right="-301"/>
        <w:jc w:val="both"/>
        <w:rPr>
          <w:rFonts w:ascii="Arial" w:hAnsi="Arial" w:cs="Arial"/>
          <w:sz w:val="20"/>
          <w:szCs w:val="20"/>
        </w:rPr>
      </w:pPr>
      <w:r>
        <w:rPr>
          <w:rFonts w:ascii="Arial" w:hAnsi="Arial" w:cs="Arial"/>
          <w:sz w:val="20"/>
          <w:szCs w:val="20"/>
        </w:rPr>
        <w:t xml:space="preserve">The strong trading performance at </w:t>
      </w:r>
      <w:proofErr w:type="spellStart"/>
      <w:r>
        <w:rPr>
          <w:rFonts w:ascii="Arial" w:hAnsi="Arial" w:cs="Arial"/>
          <w:sz w:val="20"/>
          <w:szCs w:val="20"/>
        </w:rPr>
        <w:t>Momart</w:t>
      </w:r>
      <w:proofErr w:type="spellEnd"/>
      <w:r>
        <w:rPr>
          <w:rFonts w:ascii="Arial" w:hAnsi="Arial" w:cs="Arial"/>
          <w:sz w:val="20"/>
          <w:szCs w:val="20"/>
        </w:rPr>
        <w:t xml:space="preserve"> more than offset a reduced contribution from the Falklands so that u</w:t>
      </w:r>
      <w:r w:rsidRPr="00E131E9">
        <w:rPr>
          <w:rFonts w:ascii="Arial" w:hAnsi="Arial" w:cs="Arial"/>
          <w:sz w:val="20"/>
          <w:szCs w:val="20"/>
        </w:rPr>
        <w:t>nderlying operating profits for the Group (before amortisation and financing costs</w:t>
      </w:r>
      <w:r>
        <w:rPr>
          <w:rFonts w:ascii="Arial" w:hAnsi="Arial" w:cs="Arial"/>
          <w:sz w:val="20"/>
          <w:szCs w:val="20"/>
        </w:rPr>
        <w:t xml:space="preserve"> but including the Group’s £0.04m share of the </w:t>
      </w:r>
      <w:proofErr w:type="spellStart"/>
      <w:r>
        <w:rPr>
          <w:rFonts w:ascii="Arial" w:hAnsi="Arial" w:cs="Arial"/>
          <w:sz w:val="20"/>
          <w:szCs w:val="20"/>
        </w:rPr>
        <w:t>SAtCO</w:t>
      </w:r>
      <w:proofErr w:type="spellEnd"/>
      <w:r>
        <w:rPr>
          <w:rFonts w:ascii="Arial" w:hAnsi="Arial" w:cs="Arial"/>
          <w:sz w:val="20"/>
          <w:szCs w:val="20"/>
        </w:rPr>
        <w:t xml:space="preserve"> joint venture results</w:t>
      </w:r>
      <w:r w:rsidRPr="00E131E9">
        <w:rPr>
          <w:rFonts w:ascii="Arial" w:hAnsi="Arial" w:cs="Arial"/>
          <w:sz w:val="20"/>
          <w:szCs w:val="20"/>
        </w:rPr>
        <w:t xml:space="preserve">) </w:t>
      </w:r>
      <w:r>
        <w:rPr>
          <w:rFonts w:ascii="Arial" w:hAnsi="Arial" w:cs="Arial"/>
          <w:sz w:val="20"/>
          <w:szCs w:val="20"/>
        </w:rPr>
        <w:t xml:space="preserve">increased by 10% to </w:t>
      </w:r>
      <w:r w:rsidRPr="00E131E9">
        <w:rPr>
          <w:rFonts w:ascii="Arial" w:hAnsi="Arial" w:cs="Arial"/>
          <w:sz w:val="20"/>
          <w:szCs w:val="20"/>
        </w:rPr>
        <w:t>£3.</w:t>
      </w:r>
      <w:r>
        <w:rPr>
          <w:rFonts w:ascii="Arial" w:hAnsi="Arial" w:cs="Arial"/>
          <w:sz w:val="20"/>
          <w:szCs w:val="20"/>
        </w:rPr>
        <w:t>85</w:t>
      </w:r>
      <w:r w:rsidRPr="00E131E9">
        <w:rPr>
          <w:rFonts w:ascii="Arial" w:hAnsi="Arial" w:cs="Arial"/>
          <w:sz w:val="20"/>
          <w:szCs w:val="20"/>
        </w:rPr>
        <w:t xml:space="preserve"> million (</w:t>
      </w:r>
      <w:r w:rsidRPr="00A33751">
        <w:rPr>
          <w:rFonts w:ascii="Arial" w:hAnsi="Arial" w:cs="Arial"/>
          <w:i/>
          <w:sz w:val="20"/>
          <w:szCs w:val="20"/>
        </w:rPr>
        <w:t>2013: £3.50 million</w:t>
      </w:r>
      <w:r w:rsidRPr="00E131E9">
        <w:rPr>
          <w:rFonts w:ascii="Arial" w:hAnsi="Arial" w:cs="Arial"/>
          <w:sz w:val="20"/>
          <w:szCs w:val="20"/>
        </w:rPr>
        <w:t>).</w:t>
      </w:r>
    </w:p>
    <w:p w:rsidR="00367AFF" w:rsidRPr="00E131E9" w:rsidRDefault="00367AFF" w:rsidP="00367AFF">
      <w:pPr>
        <w:widowControl w:val="0"/>
        <w:autoSpaceDE w:val="0"/>
        <w:autoSpaceDN w:val="0"/>
        <w:adjustRightInd w:val="0"/>
        <w:ind w:right="-3721"/>
        <w:rPr>
          <w:rFonts w:ascii="Arial" w:hAnsi="Arial" w:cs="Arial"/>
          <w:sz w:val="20"/>
          <w:szCs w:val="20"/>
        </w:rPr>
      </w:pPr>
      <w:r w:rsidRPr="00E131E9">
        <w:rPr>
          <w:rFonts w:ascii="Arial" w:hAnsi="Arial" w:cs="Arial"/>
          <w:b/>
          <w:bCs/>
          <w:sz w:val="20"/>
          <w:szCs w:val="20"/>
        </w:rPr>
        <w:t xml:space="preserve">Review of </w:t>
      </w:r>
      <w:r w:rsidR="004A4E98">
        <w:rPr>
          <w:rFonts w:ascii="Arial" w:hAnsi="Arial" w:cs="Arial"/>
          <w:b/>
          <w:bCs/>
          <w:sz w:val="20"/>
          <w:szCs w:val="20"/>
        </w:rPr>
        <w:t>O</w:t>
      </w:r>
      <w:r w:rsidRPr="00E131E9">
        <w:rPr>
          <w:rFonts w:ascii="Arial" w:hAnsi="Arial" w:cs="Arial"/>
          <w:b/>
          <w:bCs/>
          <w:sz w:val="20"/>
          <w:szCs w:val="20"/>
        </w:rPr>
        <w:t>perations</w:t>
      </w:r>
    </w:p>
    <w:p w:rsidR="00367AFF" w:rsidRPr="00E131E9" w:rsidRDefault="00367AFF" w:rsidP="00367AFF">
      <w:pPr>
        <w:widowControl w:val="0"/>
        <w:autoSpaceDE w:val="0"/>
        <w:autoSpaceDN w:val="0"/>
        <w:adjustRightInd w:val="0"/>
        <w:ind w:right="-3721"/>
        <w:rPr>
          <w:rFonts w:ascii="Arial" w:hAnsi="Arial" w:cs="Arial"/>
          <w:sz w:val="20"/>
          <w:szCs w:val="20"/>
        </w:rPr>
      </w:pPr>
      <w:r w:rsidRPr="00E131E9">
        <w:rPr>
          <w:rFonts w:ascii="Arial" w:hAnsi="Arial" w:cs="Arial"/>
          <w:sz w:val="20"/>
          <w:szCs w:val="20"/>
        </w:rPr>
        <w:t xml:space="preserve"> Group revenue and operating profits are analysed below:</w:t>
      </w:r>
    </w:p>
    <w:tbl>
      <w:tblPr>
        <w:tblW w:w="9072" w:type="dxa"/>
        <w:tblLayout w:type="fixed"/>
        <w:tblCellMar>
          <w:left w:w="0" w:type="dxa"/>
          <w:right w:w="0" w:type="dxa"/>
        </w:tblCellMar>
        <w:tblLook w:val="0000" w:firstRow="0" w:lastRow="0" w:firstColumn="0" w:lastColumn="0" w:noHBand="0" w:noVBand="0"/>
      </w:tblPr>
      <w:tblGrid>
        <w:gridCol w:w="5670"/>
        <w:gridCol w:w="993"/>
        <w:gridCol w:w="1275"/>
        <w:gridCol w:w="1134"/>
      </w:tblGrid>
      <w:tr w:rsidR="00367AFF" w:rsidRPr="00E131E9" w:rsidTr="00367AFF">
        <w:trPr>
          <w:trHeight w:val="161"/>
        </w:trPr>
        <w:tc>
          <w:tcPr>
            <w:tcW w:w="5670"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left="20"/>
              <w:rPr>
                <w:rFonts w:ascii="Arial" w:hAnsi="Arial" w:cs="Arial"/>
                <w:sz w:val="20"/>
                <w:szCs w:val="20"/>
              </w:rPr>
            </w:pPr>
            <w:r w:rsidRPr="00E131E9">
              <w:rPr>
                <w:rFonts w:ascii="Arial" w:hAnsi="Arial" w:cs="Arial"/>
                <w:sz w:val="20"/>
                <w:szCs w:val="20"/>
              </w:rPr>
              <w:t>Group revenue</w:t>
            </w:r>
          </w:p>
        </w:tc>
        <w:tc>
          <w:tcPr>
            <w:tcW w:w="993"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c>
          <w:tcPr>
            <w:tcW w:w="1275"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c>
          <w:tcPr>
            <w:tcW w:w="1134"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r>
      <w:tr w:rsidR="00367AFF" w:rsidRPr="00E131E9" w:rsidTr="00367AFF">
        <w:trPr>
          <w:trHeight w:val="355"/>
        </w:trPr>
        <w:tc>
          <w:tcPr>
            <w:tcW w:w="5670"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left="20"/>
              <w:rPr>
                <w:rFonts w:ascii="Arial" w:hAnsi="Arial" w:cs="Arial"/>
                <w:sz w:val="20"/>
                <w:szCs w:val="20"/>
              </w:rPr>
            </w:pPr>
            <w:r w:rsidRPr="00E131E9">
              <w:rPr>
                <w:rFonts w:ascii="Arial" w:hAnsi="Arial" w:cs="Arial"/>
                <w:sz w:val="20"/>
                <w:szCs w:val="20"/>
              </w:rPr>
              <w:t>Year ended 31 March</w:t>
            </w:r>
          </w:p>
        </w:tc>
        <w:tc>
          <w:tcPr>
            <w:tcW w:w="993"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201</w:t>
            </w:r>
            <w:r>
              <w:rPr>
                <w:rFonts w:ascii="Arial" w:hAnsi="Arial" w:cs="Arial"/>
                <w:sz w:val="20"/>
                <w:szCs w:val="20"/>
              </w:rPr>
              <w:t>4</w:t>
            </w:r>
          </w:p>
        </w:tc>
        <w:tc>
          <w:tcPr>
            <w:tcW w:w="1275"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201</w:t>
            </w:r>
            <w:r>
              <w:rPr>
                <w:rFonts w:ascii="Arial" w:hAnsi="Arial" w:cs="Arial"/>
                <w:sz w:val="20"/>
                <w:szCs w:val="20"/>
              </w:rPr>
              <w:t>3</w:t>
            </w:r>
          </w:p>
        </w:tc>
        <w:tc>
          <w:tcPr>
            <w:tcW w:w="1134"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right="27"/>
              <w:jc w:val="right"/>
              <w:rPr>
                <w:rFonts w:ascii="Arial" w:hAnsi="Arial" w:cs="Arial"/>
                <w:sz w:val="20"/>
                <w:szCs w:val="20"/>
              </w:rPr>
            </w:pPr>
            <w:r w:rsidRPr="00E131E9">
              <w:rPr>
                <w:rFonts w:ascii="Arial" w:hAnsi="Arial" w:cs="Arial"/>
                <w:i/>
                <w:iCs/>
                <w:sz w:val="20"/>
                <w:szCs w:val="20"/>
              </w:rPr>
              <w:t>Change</w:t>
            </w:r>
          </w:p>
        </w:tc>
      </w:tr>
      <w:tr w:rsidR="00367AFF" w:rsidRPr="00E131E9" w:rsidTr="00367AFF">
        <w:trPr>
          <w:trHeight w:val="180"/>
        </w:trPr>
        <w:tc>
          <w:tcPr>
            <w:tcW w:w="5670"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£m</w:t>
            </w:r>
          </w:p>
        </w:tc>
        <w:tc>
          <w:tcPr>
            <w:tcW w:w="1275"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£m</w:t>
            </w:r>
          </w:p>
        </w:tc>
        <w:tc>
          <w:tcPr>
            <w:tcW w:w="1134"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ind w:right="27"/>
              <w:jc w:val="right"/>
              <w:rPr>
                <w:rFonts w:ascii="Arial" w:hAnsi="Arial" w:cs="Arial"/>
                <w:sz w:val="20"/>
                <w:szCs w:val="20"/>
              </w:rPr>
            </w:pPr>
            <w:r w:rsidRPr="00E131E9">
              <w:rPr>
                <w:rFonts w:ascii="Arial" w:hAnsi="Arial" w:cs="Arial"/>
                <w:i/>
                <w:iCs/>
                <w:sz w:val="20"/>
                <w:szCs w:val="20"/>
              </w:rPr>
              <w:t>%</w:t>
            </w:r>
          </w:p>
        </w:tc>
      </w:tr>
      <w:tr w:rsidR="00367AFF" w:rsidRPr="00E131E9" w:rsidTr="00367AFF">
        <w:trPr>
          <w:trHeight w:val="405"/>
        </w:trPr>
        <w:tc>
          <w:tcPr>
            <w:tcW w:w="5670"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left="20"/>
              <w:rPr>
                <w:rFonts w:ascii="Arial" w:hAnsi="Arial" w:cs="Arial"/>
                <w:sz w:val="20"/>
                <w:szCs w:val="20"/>
              </w:rPr>
            </w:pPr>
            <w:r w:rsidRPr="00E131E9">
              <w:rPr>
                <w:rFonts w:ascii="Arial" w:hAnsi="Arial" w:cs="Arial"/>
                <w:sz w:val="20"/>
                <w:szCs w:val="20"/>
              </w:rPr>
              <w:t>Falkland Islands Company</w:t>
            </w:r>
          </w:p>
        </w:tc>
        <w:tc>
          <w:tcPr>
            <w:tcW w:w="993"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15.</w:t>
            </w:r>
            <w:r>
              <w:rPr>
                <w:rFonts w:ascii="Arial" w:hAnsi="Arial" w:cs="Arial"/>
                <w:sz w:val="20"/>
                <w:szCs w:val="20"/>
              </w:rPr>
              <w:t>88</w:t>
            </w:r>
          </w:p>
        </w:tc>
        <w:tc>
          <w:tcPr>
            <w:tcW w:w="1275"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15.22</w:t>
            </w:r>
          </w:p>
        </w:tc>
        <w:tc>
          <w:tcPr>
            <w:tcW w:w="1134" w:type="dxa"/>
            <w:tcBorders>
              <w:top w:val="single" w:sz="4" w:space="0" w:color="auto"/>
              <w:left w:val="nil"/>
              <w:bottom w:val="nil"/>
              <w:right w:val="nil"/>
            </w:tcBorders>
            <w:vAlign w:val="bottom"/>
          </w:tcPr>
          <w:p w:rsidR="00367AFF" w:rsidRPr="00F90DE7" w:rsidRDefault="00367AFF" w:rsidP="00367AFF">
            <w:pPr>
              <w:widowControl w:val="0"/>
              <w:autoSpaceDE w:val="0"/>
              <w:autoSpaceDN w:val="0"/>
              <w:adjustRightInd w:val="0"/>
              <w:spacing w:after="0" w:line="20" w:lineRule="atLeast"/>
              <w:ind w:right="27"/>
              <w:jc w:val="right"/>
              <w:rPr>
                <w:rFonts w:ascii="Arial" w:hAnsi="Arial" w:cs="Arial"/>
                <w:sz w:val="20"/>
                <w:szCs w:val="20"/>
              </w:rPr>
            </w:pPr>
            <w:r w:rsidRPr="003E44EB">
              <w:rPr>
                <w:rFonts w:ascii="Arial" w:hAnsi="Arial" w:cs="Arial"/>
                <w:iCs/>
                <w:sz w:val="20"/>
                <w:szCs w:val="20"/>
              </w:rPr>
              <w:t>4.3</w:t>
            </w:r>
          </w:p>
        </w:tc>
      </w:tr>
      <w:tr w:rsidR="00367AFF" w:rsidRPr="00E131E9" w:rsidTr="00367AFF">
        <w:trPr>
          <w:trHeight w:val="283"/>
        </w:trPr>
        <w:tc>
          <w:tcPr>
            <w:tcW w:w="5670"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left="20"/>
              <w:rPr>
                <w:rFonts w:ascii="Arial" w:hAnsi="Arial" w:cs="Arial"/>
                <w:sz w:val="20"/>
                <w:szCs w:val="20"/>
              </w:rPr>
            </w:pPr>
            <w:r w:rsidRPr="00E131E9">
              <w:rPr>
                <w:rFonts w:ascii="Arial" w:hAnsi="Arial" w:cs="Arial"/>
                <w:sz w:val="20"/>
                <w:szCs w:val="20"/>
              </w:rPr>
              <w:t>Portsmouth Harbour Ferry</w:t>
            </w:r>
          </w:p>
        </w:tc>
        <w:tc>
          <w:tcPr>
            <w:tcW w:w="993"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4.</w:t>
            </w:r>
            <w:r>
              <w:rPr>
                <w:rFonts w:ascii="Arial" w:hAnsi="Arial" w:cs="Arial"/>
                <w:sz w:val="20"/>
                <w:szCs w:val="20"/>
              </w:rPr>
              <w:t>12</w:t>
            </w:r>
          </w:p>
        </w:tc>
        <w:tc>
          <w:tcPr>
            <w:tcW w:w="1275"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4.08</w:t>
            </w:r>
          </w:p>
        </w:tc>
        <w:tc>
          <w:tcPr>
            <w:tcW w:w="1134" w:type="dxa"/>
            <w:tcBorders>
              <w:top w:val="nil"/>
              <w:left w:val="nil"/>
              <w:bottom w:val="nil"/>
              <w:right w:val="nil"/>
            </w:tcBorders>
            <w:vAlign w:val="bottom"/>
          </w:tcPr>
          <w:p w:rsidR="00367AFF" w:rsidRPr="00F90DE7" w:rsidRDefault="00367AFF" w:rsidP="00367AFF">
            <w:pPr>
              <w:widowControl w:val="0"/>
              <w:autoSpaceDE w:val="0"/>
              <w:autoSpaceDN w:val="0"/>
              <w:adjustRightInd w:val="0"/>
              <w:spacing w:after="0" w:line="20" w:lineRule="atLeast"/>
              <w:ind w:right="27"/>
              <w:jc w:val="right"/>
              <w:rPr>
                <w:rFonts w:ascii="Arial" w:hAnsi="Arial" w:cs="Arial"/>
                <w:sz w:val="20"/>
                <w:szCs w:val="20"/>
              </w:rPr>
            </w:pPr>
            <w:r w:rsidRPr="003E44EB">
              <w:rPr>
                <w:rFonts w:ascii="Arial" w:hAnsi="Arial" w:cs="Arial"/>
                <w:iCs/>
                <w:sz w:val="20"/>
                <w:szCs w:val="20"/>
              </w:rPr>
              <w:t>1.2</w:t>
            </w:r>
          </w:p>
        </w:tc>
      </w:tr>
      <w:tr w:rsidR="00367AFF" w:rsidRPr="00E131E9" w:rsidTr="00367AFF">
        <w:trPr>
          <w:trHeight w:val="283"/>
        </w:trPr>
        <w:tc>
          <w:tcPr>
            <w:tcW w:w="5670"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left="20"/>
              <w:rPr>
                <w:rFonts w:ascii="Arial" w:hAnsi="Arial" w:cs="Arial"/>
                <w:sz w:val="20"/>
                <w:szCs w:val="20"/>
              </w:rPr>
            </w:pPr>
            <w:proofErr w:type="spellStart"/>
            <w:r w:rsidRPr="00E131E9">
              <w:rPr>
                <w:rFonts w:ascii="Arial" w:hAnsi="Arial" w:cs="Arial"/>
                <w:sz w:val="20"/>
                <w:szCs w:val="20"/>
              </w:rPr>
              <w:t>Momart</w:t>
            </w:r>
            <w:proofErr w:type="spellEnd"/>
          </w:p>
        </w:tc>
        <w:tc>
          <w:tcPr>
            <w:tcW w:w="993"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1</w:t>
            </w:r>
            <w:r>
              <w:rPr>
                <w:rFonts w:ascii="Arial" w:hAnsi="Arial" w:cs="Arial"/>
                <w:sz w:val="20"/>
                <w:szCs w:val="20"/>
              </w:rPr>
              <w:t>8</w:t>
            </w:r>
            <w:r w:rsidRPr="00E131E9">
              <w:rPr>
                <w:rFonts w:ascii="Arial" w:hAnsi="Arial" w:cs="Arial"/>
                <w:sz w:val="20"/>
                <w:szCs w:val="20"/>
              </w:rPr>
              <w:t>.</w:t>
            </w:r>
            <w:r>
              <w:rPr>
                <w:rFonts w:ascii="Arial" w:hAnsi="Arial" w:cs="Arial"/>
                <w:sz w:val="20"/>
                <w:szCs w:val="20"/>
              </w:rPr>
              <w:t>26</w:t>
            </w:r>
          </w:p>
        </w:tc>
        <w:tc>
          <w:tcPr>
            <w:tcW w:w="1275"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16.30</w:t>
            </w:r>
          </w:p>
        </w:tc>
        <w:tc>
          <w:tcPr>
            <w:tcW w:w="1134" w:type="dxa"/>
            <w:tcBorders>
              <w:top w:val="nil"/>
              <w:left w:val="nil"/>
              <w:right w:val="nil"/>
            </w:tcBorders>
            <w:vAlign w:val="bottom"/>
          </w:tcPr>
          <w:p w:rsidR="00367AFF" w:rsidRPr="00F90DE7" w:rsidRDefault="00367AFF" w:rsidP="00367AFF">
            <w:pPr>
              <w:widowControl w:val="0"/>
              <w:autoSpaceDE w:val="0"/>
              <w:autoSpaceDN w:val="0"/>
              <w:adjustRightInd w:val="0"/>
              <w:spacing w:after="0" w:line="20" w:lineRule="atLeast"/>
              <w:ind w:right="27"/>
              <w:jc w:val="right"/>
              <w:rPr>
                <w:rFonts w:ascii="Arial" w:hAnsi="Arial" w:cs="Arial"/>
                <w:sz w:val="20"/>
                <w:szCs w:val="20"/>
              </w:rPr>
            </w:pPr>
            <w:r w:rsidRPr="003E44EB">
              <w:rPr>
                <w:rFonts w:ascii="Arial" w:hAnsi="Arial" w:cs="Arial"/>
                <w:iCs/>
                <w:sz w:val="20"/>
                <w:szCs w:val="20"/>
              </w:rPr>
              <w:t>12.0</w:t>
            </w:r>
          </w:p>
        </w:tc>
      </w:tr>
      <w:tr w:rsidR="00367AFF" w:rsidRPr="00E131E9" w:rsidTr="00367AFF">
        <w:trPr>
          <w:trHeight w:val="31"/>
        </w:trPr>
        <w:tc>
          <w:tcPr>
            <w:tcW w:w="5670"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c>
          <w:tcPr>
            <w:tcW w:w="1275"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c>
          <w:tcPr>
            <w:tcW w:w="1134" w:type="dxa"/>
            <w:tcBorders>
              <w:top w:val="nil"/>
              <w:left w:val="nil"/>
              <w:bottom w:val="single" w:sz="4" w:space="0" w:color="auto"/>
              <w:right w:val="nil"/>
            </w:tcBorders>
            <w:vAlign w:val="bottom"/>
          </w:tcPr>
          <w:p w:rsidR="00367AFF" w:rsidRPr="00F90DE7" w:rsidRDefault="00367AFF" w:rsidP="00367AFF">
            <w:pPr>
              <w:widowControl w:val="0"/>
              <w:autoSpaceDE w:val="0"/>
              <w:autoSpaceDN w:val="0"/>
              <w:adjustRightInd w:val="0"/>
              <w:spacing w:after="0" w:line="20" w:lineRule="atLeast"/>
              <w:rPr>
                <w:rFonts w:ascii="Arial" w:hAnsi="Arial" w:cs="Arial"/>
                <w:sz w:val="20"/>
                <w:szCs w:val="20"/>
              </w:rPr>
            </w:pPr>
          </w:p>
        </w:tc>
      </w:tr>
      <w:tr w:rsidR="00367AFF" w:rsidRPr="00E131E9" w:rsidTr="00367AFF">
        <w:trPr>
          <w:trHeight w:val="261"/>
        </w:trPr>
        <w:tc>
          <w:tcPr>
            <w:tcW w:w="5670" w:type="dxa"/>
            <w:tcBorders>
              <w:top w:val="single" w:sz="4" w:space="0" w:color="auto"/>
              <w:left w:val="nil"/>
              <w:right w:val="nil"/>
            </w:tcBorders>
            <w:vAlign w:val="bottom"/>
          </w:tcPr>
          <w:p w:rsidR="00367AFF" w:rsidRPr="00E131E9" w:rsidRDefault="00367AFF" w:rsidP="00367AFF">
            <w:pPr>
              <w:widowControl w:val="0"/>
              <w:autoSpaceDE w:val="0"/>
              <w:autoSpaceDN w:val="0"/>
              <w:adjustRightInd w:val="0"/>
              <w:spacing w:after="0" w:line="20" w:lineRule="atLeast"/>
              <w:ind w:left="20"/>
              <w:rPr>
                <w:rFonts w:ascii="Arial" w:hAnsi="Arial" w:cs="Arial"/>
                <w:sz w:val="20"/>
                <w:szCs w:val="20"/>
              </w:rPr>
            </w:pPr>
            <w:r w:rsidRPr="00E131E9">
              <w:rPr>
                <w:rFonts w:ascii="Arial" w:hAnsi="Arial" w:cs="Arial"/>
                <w:sz w:val="20"/>
                <w:szCs w:val="20"/>
              </w:rPr>
              <w:t>Total</w:t>
            </w:r>
          </w:p>
        </w:tc>
        <w:tc>
          <w:tcPr>
            <w:tcW w:w="993" w:type="dxa"/>
            <w:tcBorders>
              <w:top w:val="single" w:sz="4" w:space="0" w:color="auto"/>
              <w:left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3</w:t>
            </w:r>
            <w:r>
              <w:rPr>
                <w:rFonts w:ascii="Arial" w:hAnsi="Arial" w:cs="Arial"/>
                <w:sz w:val="20"/>
                <w:szCs w:val="20"/>
              </w:rPr>
              <w:t>8</w:t>
            </w:r>
            <w:r w:rsidRPr="00E131E9">
              <w:rPr>
                <w:rFonts w:ascii="Arial" w:hAnsi="Arial" w:cs="Arial"/>
                <w:sz w:val="20"/>
                <w:szCs w:val="20"/>
              </w:rPr>
              <w:t>.</w:t>
            </w:r>
            <w:r>
              <w:rPr>
                <w:rFonts w:ascii="Arial" w:hAnsi="Arial" w:cs="Arial"/>
                <w:sz w:val="20"/>
                <w:szCs w:val="20"/>
              </w:rPr>
              <w:t>26</w:t>
            </w:r>
          </w:p>
        </w:tc>
        <w:tc>
          <w:tcPr>
            <w:tcW w:w="1275" w:type="dxa"/>
            <w:tcBorders>
              <w:top w:val="single" w:sz="4" w:space="0" w:color="auto"/>
              <w:left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35.60</w:t>
            </w:r>
          </w:p>
        </w:tc>
        <w:tc>
          <w:tcPr>
            <w:tcW w:w="1134" w:type="dxa"/>
            <w:tcBorders>
              <w:top w:val="single" w:sz="4" w:space="0" w:color="auto"/>
              <w:left w:val="nil"/>
              <w:right w:val="nil"/>
            </w:tcBorders>
            <w:vAlign w:val="bottom"/>
          </w:tcPr>
          <w:p w:rsidR="00367AFF" w:rsidRPr="00F90DE7" w:rsidRDefault="00367AFF" w:rsidP="00367AFF">
            <w:pPr>
              <w:widowControl w:val="0"/>
              <w:autoSpaceDE w:val="0"/>
              <w:autoSpaceDN w:val="0"/>
              <w:adjustRightInd w:val="0"/>
              <w:spacing w:after="0" w:line="20" w:lineRule="atLeast"/>
              <w:ind w:right="27"/>
              <w:jc w:val="right"/>
              <w:rPr>
                <w:rFonts w:ascii="Arial" w:hAnsi="Arial" w:cs="Arial"/>
                <w:sz w:val="20"/>
                <w:szCs w:val="20"/>
              </w:rPr>
            </w:pPr>
            <w:r w:rsidRPr="003E44EB">
              <w:rPr>
                <w:rFonts w:ascii="Arial" w:hAnsi="Arial" w:cs="Arial"/>
                <w:iCs/>
                <w:sz w:val="20"/>
                <w:szCs w:val="20"/>
              </w:rPr>
              <w:t>7.5</w:t>
            </w:r>
          </w:p>
        </w:tc>
      </w:tr>
      <w:tr w:rsidR="00367AFF" w:rsidRPr="00E131E9" w:rsidTr="00367AFF">
        <w:trPr>
          <w:trHeight w:val="31"/>
        </w:trPr>
        <w:tc>
          <w:tcPr>
            <w:tcW w:w="6663" w:type="dxa"/>
            <w:gridSpan w:val="2"/>
            <w:tcBorders>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c>
          <w:tcPr>
            <w:tcW w:w="1275" w:type="dxa"/>
            <w:tcBorders>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c>
          <w:tcPr>
            <w:tcW w:w="1134" w:type="dxa"/>
            <w:tcBorders>
              <w:left w:val="nil"/>
              <w:bottom w:val="single" w:sz="4" w:space="0" w:color="auto"/>
              <w:right w:val="nil"/>
            </w:tcBorders>
            <w:vAlign w:val="bottom"/>
          </w:tcPr>
          <w:p w:rsidR="00367AFF" w:rsidRPr="00F90DE7" w:rsidRDefault="00367AFF" w:rsidP="00367AFF">
            <w:pPr>
              <w:widowControl w:val="0"/>
              <w:autoSpaceDE w:val="0"/>
              <w:autoSpaceDN w:val="0"/>
              <w:adjustRightInd w:val="0"/>
              <w:spacing w:after="0" w:line="20" w:lineRule="atLeast"/>
              <w:rPr>
                <w:rFonts w:ascii="Arial" w:hAnsi="Arial" w:cs="Arial"/>
                <w:sz w:val="20"/>
                <w:szCs w:val="20"/>
              </w:rPr>
            </w:pPr>
          </w:p>
        </w:tc>
      </w:tr>
      <w:tr w:rsidR="00367AFF" w:rsidRPr="00E131E9" w:rsidTr="00367AFF">
        <w:trPr>
          <w:trHeight w:val="710"/>
        </w:trPr>
        <w:tc>
          <w:tcPr>
            <w:tcW w:w="6663" w:type="dxa"/>
            <w:gridSpan w:val="2"/>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left="20"/>
              <w:rPr>
                <w:rFonts w:ascii="Arial" w:hAnsi="Arial" w:cs="Arial"/>
                <w:sz w:val="20"/>
                <w:szCs w:val="20"/>
              </w:rPr>
            </w:pPr>
            <w:r>
              <w:rPr>
                <w:rFonts w:ascii="Arial" w:hAnsi="Arial" w:cs="Arial"/>
                <w:sz w:val="20"/>
                <w:szCs w:val="20"/>
              </w:rPr>
              <w:t>G</w:t>
            </w:r>
            <w:r w:rsidRPr="00E131E9">
              <w:rPr>
                <w:rFonts w:ascii="Arial" w:hAnsi="Arial" w:cs="Arial"/>
                <w:sz w:val="20"/>
                <w:szCs w:val="20"/>
              </w:rPr>
              <w:t>roup underlying operating profit</w:t>
            </w:r>
            <w:r>
              <w:rPr>
                <w:rFonts w:ascii="Arial" w:hAnsi="Arial" w:cs="Arial"/>
                <w:sz w:val="20"/>
                <w:szCs w:val="20"/>
              </w:rPr>
              <w:t xml:space="preserve">* </w:t>
            </w:r>
          </w:p>
        </w:tc>
        <w:tc>
          <w:tcPr>
            <w:tcW w:w="1275"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c>
          <w:tcPr>
            <w:tcW w:w="1134"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r>
      <w:tr w:rsidR="00367AFF" w:rsidRPr="00E131E9" w:rsidTr="00367AFF">
        <w:trPr>
          <w:trHeight w:val="355"/>
        </w:trPr>
        <w:tc>
          <w:tcPr>
            <w:tcW w:w="5670"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left="20"/>
              <w:rPr>
                <w:rFonts w:ascii="Arial" w:hAnsi="Arial" w:cs="Arial"/>
                <w:sz w:val="20"/>
                <w:szCs w:val="20"/>
              </w:rPr>
            </w:pPr>
            <w:r w:rsidRPr="00E131E9">
              <w:rPr>
                <w:rFonts w:ascii="Arial" w:hAnsi="Arial" w:cs="Arial"/>
                <w:sz w:val="20"/>
                <w:szCs w:val="20"/>
              </w:rPr>
              <w:t>Year ended 31 March</w:t>
            </w:r>
          </w:p>
        </w:tc>
        <w:tc>
          <w:tcPr>
            <w:tcW w:w="993"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201</w:t>
            </w:r>
            <w:r>
              <w:rPr>
                <w:rFonts w:ascii="Arial" w:hAnsi="Arial" w:cs="Arial"/>
                <w:sz w:val="20"/>
                <w:szCs w:val="20"/>
              </w:rPr>
              <w:t>4</w:t>
            </w:r>
          </w:p>
        </w:tc>
        <w:tc>
          <w:tcPr>
            <w:tcW w:w="1275"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2013</w:t>
            </w:r>
          </w:p>
        </w:tc>
        <w:tc>
          <w:tcPr>
            <w:tcW w:w="1134"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right="27"/>
              <w:jc w:val="right"/>
              <w:rPr>
                <w:rFonts w:ascii="Arial" w:hAnsi="Arial" w:cs="Arial"/>
                <w:sz w:val="20"/>
                <w:szCs w:val="20"/>
              </w:rPr>
            </w:pPr>
            <w:r w:rsidRPr="00E131E9">
              <w:rPr>
                <w:rFonts w:ascii="Arial" w:hAnsi="Arial" w:cs="Arial"/>
                <w:i/>
                <w:iCs/>
                <w:sz w:val="20"/>
                <w:szCs w:val="20"/>
              </w:rPr>
              <w:t>Change</w:t>
            </w:r>
          </w:p>
        </w:tc>
      </w:tr>
      <w:tr w:rsidR="00367AFF" w:rsidRPr="00E131E9" w:rsidTr="00367AFF">
        <w:trPr>
          <w:trHeight w:val="372"/>
        </w:trPr>
        <w:tc>
          <w:tcPr>
            <w:tcW w:w="5670"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£m</w:t>
            </w:r>
          </w:p>
        </w:tc>
        <w:tc>
          <w:tcPr>
            <w:tcW w:w="1275"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£m</w:t>
            </w:r>
          </w:p>
        </w:tc>
        <w:tc>
          <w:tcPr>
            <w:tcW w:w="1134"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ind w:right="27"/>
              <w:jc w:val="right"/>
              <w:rPr>
                <w:rFonts w:ascii="Arial" w:hAnsi="Arial" w:cs="Arial"/>
                <w:i/>
                <w:iCs/>
                <w:sz w:val="20"/>
                <w:szCs w:val="20"/>
              </w:rPr>
            </w:pPr>
            <w:r w:rsidRPr="00E131E9">
              <w:rPr>
                <w:rFonts w:ascii="Arial" w:hAnsi="Arial" w:cs="Arial"/>
                <w:i/>
                <w:iCs/>
                <w:sz w:val="20"/>
                <w:szCs w:val="20"/>
              </w:rPr>
              <w:t>%</w:t>
            </w:r>
          </w:p>
        </w:tc>
      </w:tr>
      <w:tr w:rsidR="00367AFF" w:rsidRPr="00E131E9" w:rsidTr="00367AFF">
        <w:trPr>
          <w:trHeight w:val="405"/>
        </w:trPr>
        <w:tc>
          <w:tcPr>
            <w:tcW w:w="5670"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left="20"/>
              <w:rPr>
                <w:rFonts w:ascii="Arial" w:hAnsi="Arial" w:cs="Arial"/>
                <w:sz w:val="20"/>
                <w:szCs w:val="20"/>
              </w:rPr>
            </w:pPr>
            <w:r w:rsidRPr="00E131E9">
              <w:rPr>
                <w:rFonts w:ascii="Arial" w:hAnsi="Arial" w:cs="Arial"/>
                <w:sz w:val="20"/>
                <w:szCs w:val="20"/>
              </w:rPr>
              <w:t>Falkland Islands Company</w:t>
            </w:r>
          </w:p>
        </w:tc>
        <w:tc>
          <w:tcPr>
            <w:tcW w:w="993"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Pr>
                <w:rFonts w:ascii="Arial" w:hAnsi="Arial" w:cs="Arial"/>
                <w:sz w:val="20"/>
                <w:szCs w:val="20"/>
              </w:rPr>
              <w:t>1.01</w:t>
            </w:r>
          </w:p>
        </w:tc>
        <w:tc>
          <w:tcPr>
            <w:tcW w:w="1275"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1.33</w:t>
            </w:r>
          </w:p>
        </w:tc>
        <w:tc>
          <w:tcPr>
            <w:tcW w:w="1134" w:type="dxa"/>
            <w:tcBorders>
              <w:top w:val="single" w:sz="4" w:space="0" w:color="auto"/>
              <w:left w:val="nil"/>
              <w:bottom w:val="nil"/>
              <w:right w:val="nil"/>
            </w:tcBorders>
            <w:vAlign w:val="bottom"/>
          </w:tcPr>
          <w:p w:rsidR="00367AFF" w:rsidRPr="003E44EB" w:rsidRDefault="00367AFF" w:rsidP="00367AFF">
            <w:pPr>
              <w:widowControl w:val="0"/>
              <w:autoSpaceDE w:val="0"/>
              <w:autoSpaceDN w:val="0"/>
              <w:adjustRightInd w:val="0"/>
              <w:spacing w:after="0" w:line="20" w:lineRule="atLeast"/>
              <w:jc w:val="right"/>
              <w:rPr>
                <w:rFonts w:ascii="Arial" w:hAnsi="Arial" w:cs="Arial"/>
                <w:i/>
                <w:sz w:val="20"/>
                <w:szCs w:val="20"/>
              </w:rPr>
            </w:pPr>
            <w:r w:rsidRPr="003E44EB">
              <w:rPr>
                <w:rFonts w:ascii="Arial" w:hAnsi="Arial" w:cs="Arial"/>
                <w:i/>
                <w:sz w:val="20"/>
                <w:szCs w:val="20"/>
              </w:rPr>
              <w:t>-23.5</w:t>
            </w:r>
          </w:p>
        </w:tc>
      </w:tr>
      <w:tr w:rsidR="00367AFF" w:rsidRPr="00E131E9" w:rsidTr="00367AFF">
        <w:trPr>
          <w:trHeight w:val="283"/>
        </w:trPr>
        <w:tc>
          <w:tcPr>
            <w:tcW w:w="5670"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left="20"/>
              <w:rPr>
                <w:rFonts w:ascii="Arial" w:hAnsi="Arial" w:cs="Arial"/>
                <w:sz w:val="20"/>
                <w:szCs w:val="20"/>
              </w:rPr>
            </w:pPr>
            <w:r w:rsidRPr="00E131E9">
              <w:rPr>
                <w:rFonts w:ascii="Arial" w:hAnsi="Arial" w:cs="Arial"/>
                <w:sz w:val="20"/>
                <w:szCs w:val="20"/>
              </w:rPr>
              <w:t>Portsmouth Harbour Ferry</w:t>
            </w:r>
          </w:p>
        </w:tc>
        <w:tc>
          <w:tcPr>
            <w:tcW w:w="993"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Pr>
                <w:rFonts w:ascii="Arial" w:hAnsi="Arial" w:cs="Arial"/>
                <w:sz w:val="20"/>
                <w:szCs w:val="20"/>
              </w:rPr>
              <w:t>1.01</w:t>
            </w:r>
          </w:p>
        </w:tc>
        <w:tc>
          <w:tcPr>
            <w:tcW w:w="1275"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0.98</w:t>
            </w:r>
          </w:p>
        </w:tc>
        <w:tc>
          <w:tcPr>
            <w:tcW w:w="1134" w:type="dxa"/>
            <w:tcBorders>
              <w:top w:val="nil"/>
              <w:left w:val="nil"/>
              <w:bottom w:val="nil"/>
              <w:right w:val="nil"/>
            </w:tcBorders>
            <w:vAlign w:val="bottom"/>
          </w:tcPr>
          <w:p w:rsidR="00367AFF" w:rsidRPr="003E44EB" w:rsidRDefault="00367AFF" w:rsidP="00367AFF">
            <w:pPr>
              <w:widowControl w:val="0"/>
              <w:autoSpaceDE w:val="0"/>
              <w:autoSpaceDN w:val="0"/>
              <w:adjustRightInd w:val="0"/>
              <w:spacing w:after="0" w:line="20" w:lineRule="atLeast"/>
              <w:ind w:right="27"/>
              <w:jc w:val="right"/>
              <w:rPr>
                <w:rFonts w:ascii="Arial" w:hAnsi="Arial" w:cs="Arial"/>
                <w:i/>
                <w:sz w:val="20"/>
                <w:szCs w:val="20"/>
              </w:rPr>
            </w:pPr>
            <w:r w:rsidRPr="003E44EB">
              <w:rPr>
                <w:rFonts w:ascii="Arial" w:hAnsi="Arial" w:cs="Arial"/>
                <w:i/>
                <w:sz w:val="20"/>
                <w:szCs w:val="20"/>
              </w:rPr>
              <w:t>2.9</w:t>
            </w:r>
          </w:p>
        </w:tc>
      </w:tr>
      <w:tr w:rsidR="00367AFF" w:rsidRPr="00E131E9" w:rsidTr="00367AFF">
        <w:trPr>
          <w:trHeight w:val="283"/>
        </w:trPr>
        <w:tc>
          <w:tcPr>
            <w:tcW w:w="5670"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left="20"/>
              <w:rPr>
                <w:rFonts w:ascii="Arial" w:hAnsi="Arial" w:cs="Arial"/>
                <w:sz w:val="20"/>
                <w:szCs w:val="20"/>
              </w:rPr>
            </w:pPr>
            <w:proofErr w:type="spellStart"/>
            <w:r w:rsidRPr="00E131E9">
              <w:rPr>
                <w:rFonts w:ascii="Arial" w:hAnsi="Arial" w:cs="Arial"/>
                <w:sz w:val="20"/>
                <w:szCs w:val="20"/>
              </w:rPr>
              <w:t>Momart</w:t>
            </w:r>
            <w:proofErr w:type="spellEnd"/>
          </w:p>
        </w:tc>
        <w:tc>
          <w:tcPr>
            <w:tcW w:w="993"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Pr>
                <w:rFonts w:ascii="Arial" w:hAnsi="Arial" w:cs="Arial"/>
                <w:sz w:val="20"/>
                <w:szCs w:val="20"/>
              </w:rPr>
              <w:t>1.83</w:t>
            </w:r>
          </w:p>
        </w:tc>
        <w:tc>
          <w:tcPr>
            <w:tcW w:w="1275" w:type="dxa"/>
            <w:tcBorders>
              <w:top w:val="nil"/>
              <w:left w:val="nil"/>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1.19</w:t>
            </w:r>
          </w:p>
        </w:tc>
        <w:tc>
          <w:tcPr>
            <w:tcW w:w="1134" w:type="dxa"/>
            <w:tcBorders>
              <w:top w:val="nil"/>
              <w:left w:val="nil"/>
              <w:right w:val="nil"/>
            </w:tcBorders>
            <w:vAlign w:val="bottom"/>
          </w:tcPr>
          <w:p w:rsidR="00367AFF" w:rsidRPr="003E44EB" w:rsidRDefault="00367AFF" w:rsidP="00367AFF">
            <w:pPr>
              <w:widowControl w:val="0"/>
              <w:autoSpaceDE w:val="0"/>
              <w:autoSpaceDN w:val="0"/>
              <w:adjustRightInd w:val="0"/>
              <w:spacing w:after="0" w:line="20" w:lineRule="atLeast"/>
              <w:ind w:right="27"/>
              <w:jc w:val="right"/>
              <w:rPr>
                <w:rFonts w:ascii="Arial" w:hAnsi="Arial" w:cs="Arial"/>
                <w:i/>
                <w:sz w:val="20"/>
                <w:szCs w:val="20"/>
              </w:rPr>
            </w:pPr>
            <w:r w:rsidRPr="003E44EB">
              <w:rPr>
                <w:rFonts w:ascii="Arial" w:hAnsi="Arial" w:cs="Arial"/>
                <w:i/>
                <w:sz w:val="20"/>
                <w:szCs w:val="20"/>
              </w:rPr>
              <w:t>53.1</w:t>
            </w:r>
          </w:p>
        </w:tc>
      </w:tr>
      <w:tr w:rsidR="00367AFF" w:rsidRPr="00E131E9" w:rsidTr="00367AFF">
        <w:trPr>
          <w:trHeight w:val="31"/>
        </w:trPr>
        <w:tc>
          <w:tcPr>
            <w:tcW w:w="5670"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c>
          <w:tcPr>
            <w:tcW w:w="1275"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rPr>
                <w:rFonts w:ascii="Arial" w:hAnsi="Arial" w:cs="Arial"/>
                <w:sz w:val="20"/>
                <w:szCs w:val="20"/>
              </w:rPr>
            </w:pPr>
          </w:p>
        </w:tc>
        <w:tc>
          <w:tcPr>
            <w:tcW w:w="1134" w:type="dxa"/>
            <w:tcBorders>
              <w:top w:val="nil"/>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20" w:lineRule="atLeast"/>
              <w:rPr>
                <w:rFonts w:ascii="Arial" w:hAnsi="Arial" w:cs="Arial"/>
                <w:i/>
                <w:sz w:val="20"/>
                <w:szCs w:val="20"/>
              </w:rPr>
            </w:pPr>
          </w:p>
        </w:tc>
      </w:tr>
      <w:tr w:rsidR="00367AFF" w:rsidRPr="00E131E9" w:rsidTr="00367AFF">
        <w:trPr>
          <w:trHeight w:val="292"/>
        </w:trPr>
        <w:tc>
          <w:tcPr>
            <w:tcW w:w="5670" w:type="dxa"/>
            <w:tcBorders>
              <w:top w:val="single" w:sz="4" w:space="0" w:color="auto"/>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ind w:left="20"/>
              <w:rPr>
                <w:rFonts w:ascii="Arial" w:hAnsi="Arial" w:cs="Arial"/>
                <w:sz w:val="20"/>
                <w:szCs w:val="20"/>
              </w:rPr>
            </w:pPr>
            <w:r w:rsidRPr="00E131E9">
              <w:rPr>
                <w:rFonts w:ascii="Arial" w:hAnsi="Arial" w:cs="Arial"/>
                <w:sz w:val="20"/>
                <w:szCs w:val="20"/>
              </w:rPr>
              <w:t>Total</w:t>
            </w:r>
          </w:p>
        </w:tc>
        <w:tc>
          <w:tcPr>
            <w:tcW w:w="993" w:type="dxa"/>
            <w:tcBorders>
              <w:top w:val="single" w:sz="4" w:space="0" w:color="auto"/>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3.</w:t>
            </w:r>
            <w:r>
              <w:rPr>
                <w:rFonts w:ascii="Arial" w:hAnsi="Arial" w:cs="Arial"/>
                <w:sz w:val="20"/>
                <w:szCs w:val="20"/>
              </w:rPr>
              <w:t>85</w:t>
            </w:r>
          </w:p>
        </w:tc>
        <w:tc>
          <w:tcPr>
            <w:tcW w:w="1275" w:type="dxa"/>
            <w:tcBorders>
              <w:top w:val="single" w:sz="4" w:space="0" w:color="auto"/>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20" w:lineRule="atLeast"/>
              <w:ind w:right="67"/>
              <w:jc w:val="right"/>
              <w:rPr>
                <w:rFonts w:ascii="Arial" w:hAnsi="Arial" w:cs="Arial"/>
                <w:sz w:val="20"/>
                <w:szCs w:val="20"/>
              </w:rPr>
            </w:pPr>
            <w:r w:rsidRPr="00E131E9">
              <w:rPr>
                <w:rFonts w:ascii="Arial" w:hAnsi="Arial" w:cs="Arial"/>
                <w:sz w:val="20"/>
                <w:szCs w:val="20"/>
              </w:rPr>
              <w:t>3.50</w:t>
            </w:r>
          </w:p>
        </w:tc>
        <w:tc>
          <w:tcPr>
            <w:tcW w:w="1134" w:type="dxa"/>
            <w:tcBorders>
              <w:top w:val="single" w:sz="4" w:space="0" w:color="auto"/>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20" w:lineRule="atLeast"/>
              <w:ind w:right="27"/>
              <w:jc w:val="right"/>
              <w:rPr>
                <w:rFonts w:ascii="Arial" w:hAnsi="Arial" w:cs="Arial"/>
                <w:i/>
                <w:sz w:val="20"/>
                <w:szCs w:val="20"/>
              </w:rPr>
            </w:pPr>
            <w:r w:rsidRPr="003E44EB">
              <w:rPr>
                <w:rFonts w:ascii="Arial" w:hAnsi="Arial" w:cs="Arial"/>
                <w:i/>
                <w:sz w:val="20"/>
                <w:szCs w:val="20"/>
              </w:rPr>
              <w:t>10.0</w:t>
            </w:r>
          </w:p>
        </w:tc>
      </w:tr>
    </w:tbl>
    <w:p w:rsidR="004B7139" w:rsidRDefault="004B7139" w:rsidP="004B7139">
      <w:pPr>
        <w:widowControl w:val="0"/>
        <w:autoSpaceDE w:val="0"/>
        <w:autoSpaceDN w:val="0"/>
        <w:adjustRightInd w:val="0"/>
        <w:spacing w:after="0" w:line="200" w:lineRule="exact"/>
        <w:rPr>
          <w:rFonts w:ascii="Arial" w:hAnsi="Arial" w:cs="Arial"/>
          <w:sz w:val="20"/>
          <w:szCs w:val="20"/>
        </w:rPr>
      </w:pPr>
    </w:p>
    <w:p w:rsidR="00367AFF" w:rsidRPr="00B06AC4" w:rsidRDefault="00367AFF" w:rsidP="00367AFF">
      <w:pPr>
        <w:widowControl w:val="0"/>
        <w:autoSpaceDE w:val="0"/>
        <w:autoSpaceDN w:val="0"/>
        <w:adjustRightInd w:val="0"/>
        <w:spacing w:line="200" w:lineRule="exact"/>
        <w:rPr>
          <w:rFonts w:ascii="Arial" w:hAnsi="Arial" w:cs="Arial"/>
          <w:sz w:val="20"/>
          <w:szCs w:val="20"/>
        </w:rPr>
      </w:pPr>
      <w:r>
        <w:rPr>
          <w:rFonts w:ascii="Arial" w:hAnsi="Arial" w:cs="Arial"/>
          <w:sz w:val="20"/>
          <w:szCs w:val="20"/>
        </w:rPr>
        <w:t xml:space="preserve">* operating profit is stated before amortisation of intangibles and non–trading items, and includes the Group’s £0.04m share of the </w:t>
      </w:r>
      <w:proofErr w:type="spellStart"/>
      <w:r>
        <w:rPr>
          <w:rFonts w:ascii="Arial" w:hAnsi="Arial" w:cs="Arial"/>
          <w:sz w:val="20"/>
          <w:szCs w:val="20"/>
        </w:rPr>
        <w:t>SAtCO</w:t>
      </w:r>
      <w:proofErr w:type="spellEnd"/>
      <w:r>
        <w:rPr>
          <w:rFonts w:ascii="Arial" w:hAnsi="Arial" w:cs="Arial"/>
          <w:sz w:val="20"/>
          <w:szCs w:val="20"/>
        </w:rPr>
        <w:t xml:space="preserve"> joint venture </w:t>
      </w:r>
      <w:r w:rsidR="00401CAA">
        <w:rPr>
          <w:rFonts w:ascii="Arial" w:hAnsi="Arial" w:cs="Arial"/>
          <w:sz w:val="20"/>
          <w:szCs w:val="20"/>
        </w:rPr>
        <w:t>profit.</w:t>
      </w:r>
    </w:p>
    <w:p w:rsidR="00367AFF" w:rsidRPr="00E131E9" w:rsidRDefault="00367AFF" w:rsidP="00367AFF">
      <w:pPr>
        <w:widowControl w:val="0"/>
        <w:autoSpaceDE w:val="0"/>
        <w:autoSpaceDN w:val="0"/>
        <w:adjustRightInd w:val="0"/>
        <w:ind w:right="-3012"/>
        <w:rPr>
          <w:rFonts w:ascii="Arial" w:hAnsi="Arial" w:cs="Arial"/>
          <w:sz w:val="20"/>
          <w:szCs w:val="20"/>
        </w:rPr>
      </w:pPr>
      <w:r w:rsidRPr="00E131E9">
        <w:rPr>
          <w:rFonts w:ascii="Arial" w:hAnsi="Arial" w:cs="Arial"/>
          <w:b/>
          <w:bCs/>
          <w:sz w:val="20"/>
          <w:szCs w:val="20"/>
        </w:rPr>
        <w:t>Falkland Islands Company (“FIC”)</w:t>
      </w:r>
    </w:p>
    <w:p w:rsidR="00367AFF" w:rsidRDefault="00367AFF" w:rsidP="00367AFF">
      <w:pPr>
        <w:widowControl w:val="0"/>
        <w:overflowPunct w:val="0"/>
        <w:autoSpaceDE w:val="0"/>
        <w:autoSpaceDN w:val="0"/>
        <w:adjustRightInd w:val="0"/>
        <w:ind w:right="128"/>
        <w:jc w:val="both"/>
        <w:rPr>
          <w:rFonts w:ascii="Arial" w:hAnsi="Arial" w:cs="Arial"/>
          <w:sz w:val="20"/>
          <w:szCs w:val="20"/>
        </w:rPr>
      </w:pPr>
      <w:r>
        <w:rPr>
          <w:rFonts w:ascii="Arial" w:hAnsi="Arial" w:cs="Arial"/>
          <w:sz w:val="20"/>
          <w:szCs w:val="20"/>
        </w:rPr>
        <w:t xml:space="preserve">As expected the Falklands had a quieter year with the absence of offshore drilling resulting in a temporary hiatus in the economic growth experienced in recent years. Lower </w:t>
      </w:r>
      <w:r w:rsidR="00401CAA">
        <w:rPr>
          <w:rFonts w:ascii="Arial" w:hAnsi="Arial" w:cs="Arial"/>
          <w:sz w:val="20"/>
          <w:szCs w:val="20"/>
        </w:rPr>
        <w:t>oil exploration</w:t>
      </w:r>
      <w:r>
        <w:rPr>
          <w:rFonts w:ascii="Arial" w:hAnsi="Arial" w:cs="Arial"/>
          <w:sz w:val="20"/>
          <w:szCs w:val="20"/>
        </w:rPr>
        <w:t xml:space="preserve"> demand for rental housing, provisioning, food supplies and agency services led to a downturn in revenues and profits for those activities, whilst in the wider economy, general retail demand softened as linked private sector work contracted.</w:t>
      </w:r>
      <w:r w:rsidR="008824D2">
        <w:rPr>
          <w:rFonts w:ascii="Arial" w:hAnsi="Arial" w:cs="Arial"/>
          <w:sz w:val="20"/>
          <w:szCs w:val="20"/>
        </w:rPr>
        <w:t xml:space="preserve"> </w:t>
      </w:r>
      <w:r>
        <w:rPr>
          <w:rFonts w:ascii="Arial" w:hAnsi="Arial" w:cs="Arial"/>
          <w:sz w:val="20"/>
          <w:szCs w:val="20"/>
        </w:rPr>
        <w:t xml:space="preserve"> As a consequence</w:t>
      </w:r>
      <w:r w:rsidR="004A4E98">
        <w:rPr>
          <w:rFonts w:ascii="Arial" w:hAnsi="Arial" w:cs="Arial"/>
          <w:sz w:val="20"/>
          <w:szCs w:val="20"/>
        </w:rPr>
        <w:t>,</w:t>
      </w:r>
      <w:r>
        <w:rPr>
          <w:rFonts w:ascii="Arial" w:hAnsi="Arial" w:cs="Arial"/>
          <w:sz w:val="20"/>
          <w:szCs w:val="20"/>
        </w:rPr>
        <w:t xml:space="preserve"> although the Group’s Falklands business retains outstanding growth potential over the medium</w:t>
      </w:r>
      <w:r w:rsidR="008824D2">
        <w:rPr>
          <w:rFonts w:ascii="Arial" w:hAnsi="Arial" w:cs="Arial"/>
          <w:sz w:val="20"/>
          <w:szCs w:val="20"/>
        </w:rPr>
        <w:t xml:space="preserve"> to </w:t>
      </w:r>
      <w:r>
        <w:rPr>
          <w:rFonts w:ascii="Arial" w:hAnsi="Arial" w:cs="Arial"/>
          <w:sz w:val="20"/>
          <w:szCs w:val="20"/>
        </w:rPr>
        <w:t xml:space="preserve">long term, in the year just ended FIC profits </w:t>
      </w:r>
      <w:r w:rsidR="008824D2">
        <w:rPr>
          <w:rFonts w:ascii="Arial" w:hAnsi="Arial" w:cs="Arial"/>
          <w:sz w:val="20"/>
          <w:szCs w:val="20"/>
        </w:rPr>
        <w:t>had decreased to</w:t>
      </w:r>
      <w:r>
        <w:rPr>
          <w:rFonts w:ascii="Arial" w:hAnsi="Arial" w:cs="Arial"/>
          <w:sz w:val="20"/>
          <w:szCs w:val="20"/>
        </w:rPr>
        <w:t xml:space="preserve"> £1.01 million </w:t>
      </w:r>
      <w:r w:rsidR="008824D2">
        <w:rPr>
          <w:rFonts w:ascii="Arial" w:hAnsi="Arial" w:cs="Arial"/>
          <w:sz w:val="20"/>
          <w:szCs w:val="20"/>
        </w:rPr>
        <w:t xml:space="preserve">from £1.33 million in the prior year. </w:t>
      </w:r>
      <w:r>
        <w:rPr>
          <w:rFonts w:ascii="Arial" w:hAnsi="Arial" w:cs="Arial"/>
          <w:sz w:val="20"/>
          <w:szCs w:val="20"/>
        </w:rPr>
        <w:t xml:space="preserve"> </w:t>
      </w:r>
    </w:p>
    <w:p w:rsidR="00367AFF" w:rsidRPr="00EC383B" w:rsidRDefault="00367AFF" w:rsidP="00367AFF">
      <w:pPr>
        <w:widowControl w:val="0"/>
        <w:overflowPunct w:val="0"/>
        <w:autoSpaceDE w:val="0"/>
        <w:autoSpaceDN w:val="0"/>
        <w:adjustRightInd w:val="0"/>
        <w:ind w:right="128"/>
        <w:jc w:val="both"/>
        <w:rPr>
          <w:rFonts w:ascii="Arial" w:hAnsi="Arial" w:cs="Arial"/>
          <w:b/>
          <w:sz w:val="20"/>
          <w:szCs w:val="20"/>
        </w:rPr>
      </w:pPr>
      <w:r w:rsidRPr="00EC383B">
        <w:rPr>
          <w:rFonts w:ascii="Arial" w:hAnsi="Arial" w:cs="Arial"/>
          <w:b/>
          <w:sz w:val="20"/>
          <w:szCs w:val="20"/>
        </w:rPr>
        <w:t xml:space="preserve">Oil developments </w:t>
      </w:r>
    </w:p>
    <w:p w:rsidR="004B7139" w:rsidRDefault="00367AFF" w:rsidP="00367AFF">
      <w:pPr>
        <w:widowControl w:val="0"/>
        <w:overflowPunct w:val="0"/>
        <w:autoSpaceDE w:val="0"/>
        <w:autoSpaceDN w:val="0"/>
        <w:adjustRightInd w:val="0"/>
        <w:ind w:right="128"/>
        <w:jc w:val="both"/>
        <w:rPr>
          <w:rFonts w:ascii="Arial" w:hAnsi="Arial" w:cs="Arial"/>
          <w:sz w:val="20"/>
          <w:szCs w:val="20"/>
        </w:rPr>
      </w:pPr>
      <w:r>
        <w:rPr>
          <w:rFonts w:ascii="Arial" w:hAnsi="Arial" w:cs="Arial"/>
          <w:sz w:val="20"/>
          <w:szCs w:val="20"/>
        </w:rPr>
        <w:t>During the year, Noble Energy</w:t>
      </w:r>
      <w:r w:rsidR="00401CAA">
        <w:rPr>
          <w:rFonts w:ascii="Arial" w:hAnsi="Arial" w:cs="Arial"/>
          <w:sz w:val="20"/>
          <w:szCs w:val="20"/>
        </w:rPr>
        <w:t xml:space="preserve"> and Premier Oil </w:t>
      </w:r>
      <w:r>
        <w:rPr>
          <w:rFonts w:ascii="Arial" w:hAnsi="Arial" w:cs="Arial"/>
          <w:sz w:val="20"/>
          <w:szCs w:val="20"/>
        </w:rPr>
        <w:t xml:space="preserve">continued to progress </w:t>
      </w:r>
      <w:r w:rsidR="00797C10">
        <w:rPr>
          <w:rFonts w:ascii="Arial" w:hAnsi="Arial" w:cs="Arial"/>
          <w:sz w:val="20"/>
          <w:szCs w:val="20"/>
        </w:rPr>
        <w:t>their</w:t>
      </w:r>
      <w:r>
        <w:rPr>
          <w:rFonts w:ascii="Arial" w:hAnsi="Arial" w:cs="Arial"/>
          <w:sz w:val="20"/>
          <w:szCs w:val="20"/>
        </w:rPr>
        <w:t xml:space="preserve"> plans for a new round of exploration drilling planned for 2015 in the</w:t>
      </w:r>
      <w:r w:rsidR="00401CAA">
        <w:rPr>
          <w:rFonts w:ascii="Arial" w:hAnsi="Arial" w:cs="Arial"/>
          <w:sz w:val="20"/>
          <w:szCs w:val="20"/>
        </w:rPr>
        <w:t xml:space="preserve"> Northern and</w:t>
      </w:r>
      <w:r>
        <w:rPr>
          <w:rFonts w:ascii="Arial" w:hAnsi="Arial" w:cs="Arial"/>
          <w:sz w:val="20"/>
          <w:szCs w:val="20"/>
        </w:rPr>
        <w:t xml:space="preserve"> Southern basin</w:t>
      </w:r>
      <w:r w:rsidR="00401CAA">
        <w:rPr>
          <w:rFonts w:ascii="Arial" w:hAnsi="Arial" w:cs="Arial"/>
          <w:sz w:val="20"/>
          <w:szCs w:val="20"/>
        </w:rPr>
        <w:t>s</w:t>
      </w:r>
      <w:r>
        <w:rPr>
          <w:rFonts w:ascii="Arial" w:hAnsi="Arial" w:cs="Arial"/>
          <w:sz w:val="20"/>
          <w:szCs w:val="20"/>
        </w:rPr>
        <w:t xml:space="preserve"> and in March 2014 a new temporary floating dock arrived in Stanley Harbour to support the offshore programme. In the North Falklands basin, Premier </w:t>
      </w:r>
      <w:r w:rsidRPr="00E131E9">
        <w:rPr>
          <w:rFonts w:ascii="Arial" w:hAnsi="Arial" w:cs="Arial"/>
          <w:sz w:val="20"/>
          <w:szCs w:val="20"/>
        </w:rPr>
        <w:t>Oil</w:t>
      </w:r>
      <w:r>
        <w:rPr>
          <w:rFonts w:ascii="Arial" w:hAnsi="Arial" w:cs="Arial"/>
          <w:sz w:val="20"/>
          <w:szCs w:val="20"/>
        </w:rPr>
        <w:t xml:space="preserve">, (“Premier”), the licence holder for the 300mbbl Sea Lion field refined its plans and confirmed the engineering approach for the </w:t>
      </w:r>
      <w:r>
        <w:rPr>
          <w:rFonts w:ascii="Arial" w:hAnsi="Arial" w:cs="Arial"/>
          <w:sz w:val="20"/>
          <w:szCs w:val="20"/>
        </w:rPr>
        <w:lastRenderedPageBreak/>
        <w:t>ultimate commercial production of oil.</w:t>
      </w:r>
    </w:p>
    <w:p w:rsidR="00367AFF" w:rsidRPr="00580BA8" w:rsidRDefault="00367AFF" w:rsidP="00367AFF">
      <w:pPr>
        <w:widowControl w:val="0"/>
        <w:overflowPunct w:val="0"/>
        <w:autoSpaceDE w:val="0"/>
        <w:autoSpaceDN w:val="0"/>
        <w:adjustRightInd w:val="0"/>
        <w:ind w:right="128"/>
        <w:jc w:val="both"/>
        <w:rPr>
          <w:rFonts w:ascii="Arial" w:hAnsi="Arial" w:cs="Arial"/>
          <w:sz w:val="20"/>
          <w:szCs w:val="20"/>
        </w:rPr>
      </w:pPr>
      <w:r w:rsidRPr="00580BA8">
        <w:rPr>
          <w:rFonts w:ascii="Arial" w:hAnsi="Arial" w:cs="Arial"/>
          <w:sz w:val="20"/>
          <w:szCs w:val="20"/>
        </w:rPr>
        <w:t>I</w:t>
      </w:r>
      <w:r w:rsidRPr="00D86FD7">
        <w:rPr>
          <w:rFonts w:ascii="Arial" w:hAnsi="Arial" w:cs="Arial"/>
          <w:sz w:val="20"/>
          <w:szCs w:val="20"/>
        </w:rPr>
        <w:t>n February 2014</w:t>
      </w:r>
      <w:r w:rsidR="008824D2">
        <w:rPr>
          <w:rFonts w:ascii="Arial" w:hAnsi="Arial" w:cs="Arial"/>
          <w:sz w:val="20"/>
          <w:szCs w:val="20"/>
        </w:rPr>
        <w:t>,</w:t>
      </w:r>
      <w:r w:rsidRPr="00D86FD7">
        <w:rPr>
          <w:rFonts w:ascii="Arial" w:hAnsi="Arial" w:cs="Arial"/>
          <w:sz w:val="20"/>
          <w:szCs w:val="20"/>
        </w:rPr>
        <w:t xml:space="preserve"> Premier </w:t>
      </w:r>
      <w:r>
        <w:rPr>
          <w:rFonts w:ascii="Arial" w:hAnsi="Arial" w:cs="Arial"/>
          <w:sz w:val="20"/>
          <w:szCs w:val="20"/>
        </w:rPr>
        <w:t xml:space="preserve">announced that it was </w:t>
      </w:r>
      <w:r w:rsidRPr="00D86FD7">
        <w:rPr>
          <w:rFonts w:ascii="Arial" w:hAnsi="Arial" w:cs="Arial"/>
          <w:sz w:val="20"/>
          <w:szCs w:val="20"/>
        </w:rPr>
        <w:t xml:space="preserve">seeking a farm-in partner </w:t>
      </w:r>
      <w:r>
        <w:rPr>
          <w:rFonts w:ascii="Arial" w:hAnsi="Arial" w:cs="Arial"/>
          <w:sz w:val="20"/>
          <w:szCs w:val="20"/>
        </w:rPr>
        <w:t xml:space="preserve">for Sea Lion </w:t>
      </w:r>
      <w:r w:rsidRPr="00D86FD7">
        <w:rPr>
          <w:rFonts w:ascii="Arial" w:hAnsi="Arial" w:cs="Arial"/>
          <w:sz w:val="20"/>
          <w:szCs w:val="20"/>
        </w:rPr>
        <w:t xml:space="preserve">and it is now clear that </w:t>
      </w:r>
      <w:r>
        <w:rPr>
          <w:rFonts w:ascii="Arial" w:hAnsi="Arial" w:cs="Arial"/>
          <w:sz w:val="20"/>
          <w:szCs w:val="20"/>
        </w:rPr>
        <w:t xml:space="preserve">the </w:t>
      </w:r>
      <w:r w:rsidRPr="00D86FD7">
        <w:rPr>
          <w:rFonts w:ascii="Arial" w:hAnsi="Arial" w:cs="Arial"/>
          <w:sz w:val="20"/>
          <w:szCs w:val="20"/>
        </w:rPr>
        <w:t xml:space="preserve">Sea Lion </w:t>
      </w:r>
      <w:r>
        <w:rPr>
          <w:rFonts w:ascii="Arial" w:hAnsi="Arial" w:cs="Arial"/>
          <w:sz w:val="20"/>
          <w:szCs w:val="20"/>
        </w:rPr>
        <w:t xml:space="preserve">development </w:t>
      </w:r>
      <w:r w:rsidRPr="00D86FD7">
        <w:rPr>
          <w:rFonts w:ascii="Arial" w:hAnsi="Arial" w:cs="Arial"/>
          <w:sz w:val="20"/>
          <w:szCs w:val="20"/>
        </w:rPr>
        <w:t>will not go ahead without the introduction of a</w:t>
      </w:r>
      <w:r>
        <w:rPr>
          <w:rFonts w:ascii="Arial" w:hAnsi="Arial" w:cs="Arial"/>
          <w:sz w:val="20"/>
          <w:szCs w:val="20"/>
        </w:rPr>
        <w:t xml:space="preserve"> third</w:t>
      </w:r>
      <w:r w:rsidRPr="00D86FD7">
        <w:rPr>
          <w:rFonts w:ascii="Arial" w:hAnsi="Arial" w:cs="Arial"/>
          <w:sz w:val="20"/>
          <w:szCs w:val="20"/>
        </w:rPr>
        <w:t xml:space="preserve"> party who can </w:t>
      </w:r>
      <w:r>
        <w:rPr>
          <w:rFonts w:ascii="Arial" w:hAnsi="Arial" w:cs="Arial"/>
          <w:sz w:val="20"/>
          <w:szCs w:val="20"/>
        </w:rPr>
        <w:t xml:space="preserve">help with </w:t>
      </w:r>
      <w:r w:rsidRPr="00D86FD7">
        <w:rPr>
          <w:rFonts w:ascii="Arial" w:hAnsi="Arial" w:cs="Arial"/>
          <w:sz w:val="20"/>
          <w:szCs w:val="20"/>
        </w:rPr>
        <w:t>funding</w:t>
      </w:r>
      <w:r w:rsidR="008824D2">
        <w:rPr>
          <w:rFonts w:ascii="Arial" w:hAnsi="Arial" w:cs="Arial"/>
          <w:sz w:val="20"/>
          <w:szCs w:val="20"/>
        </w:rPr>
        <w:t>,</w:t>
      </w:r>
      <w:r>
        <w:rPr>
          <w:rFonts w:ascii="Arial" w:hAnsi="Arial" w:cs="Arial"/>
          <w:sz w:val="20"/>
          <w:szCs w:val="20"/>
        </w:rPr>
        <w:t xml:space="preserve"> which is estimated at $5.2billion.</w:t>
      </w:r>
      <w:r w:rsidRPr="00D86FD7">
        <w:rPr>
          <w:rFonts w:ascii="Arial" w:hAnsi="Arial" w:cs="Arial"/>
          <w:sz w:val="20"/>
          <w:szCs w:val="20"/>
        </w:rPr>
        <w:t xml:space="preserve"> </w:t>
      </w:r>
      <w:r>
        <w:rPr>
          <w:rFonts w:ascii="Arial" w:hAnsi="Arial" w:cs="Arial"/>
          <w:sz w:val="20"/>
          <w:szCs w:val="20"/>
        </w:rPr>
        <w:t>Meanwhile,</w:t>
      </w:r>
      <w:r w:rsidRPr="00D86FD7">
        <w:rPr>
          <w:rFonts w:ascii="Arial" w:hAnsi="Arial" w:cs="Arial"/>
          <w:sz w:val="20"/>
          <w:szCs w:val="20"/>
        </w:rPr>
        <w:t xml:space="preserve"> Premier has indicated that it is </w:t>
      </w:r>
      <w:proofErr w:type="gramStart"/>
      <w:r w:rsidRPr="00D86FD7">
        <w:rPr>
          <w:rFonts w:ascii="Arial" w:hAnsi="Arial" w:cs="Arial"/>
          <w:sz w:val="20"/>
          <w:szCs w:val="20"/>
        </w:rPr>
        <w:t>progressing</w:t>
      </w:r>
      <w:proofErr w:type="gramEnd"/>
      <w:r w:rsidRPr="00D86FD7">
        <w:rPr>
          <w:rFonts w:ascii="Arial" w:hAnsi="Arial" w:cs="Arial"/>
          <w:sz w:val="20"/>
          <w:szCs w:val="20"/>
        </w:rPr>
        <w:t xml:space="preserve"> </w:t>
      </w:r>
      <w:r>
        <w:rPr>
          <w:rFonts w:ascii="Arial" w:hAnsi="Arial" w:cs="Arial"/>
          <w:sz w:val="20"/>
          <w:szCs w:val="20"/>
        </w:rPr>
        <w:t xml:space="preserve">the </w:t>
      </w:r>
      <w:r w:rsidRPr="00D86FD7">
        <w:rPr>
          <w:rFonts w:ascii="Arial" w:hAnsi="Arial" w:cs="Arial"/>
          <w:sz w:val="20"/>
          <w:szCs w:val="20"/>
        </w:rPr>
        <w:t xml:space="preserve">preparatory work and that contracts to develop the detailed engineering design work necessary for phase 1 of Sea Lion will be placed by mid-2014. This will ensure that once funding is in place, field development can proceed with minimum delay. Significant onshore construction activity and oil related expenditure would then be expected within 2 years with “First Oil” flowing approximately 4 years after final project sanction. </w:t>
      </w:r>
    </w:p>
    <w:p w:rsidR="00367AFF" w:rsidRPr="00D86FD7" w:rsidRDefault="00367AFF" w:rsidP="00367AFF">
      <w:pPr>
        <w:widowControl w:val="0"/>
        <w:overflowPunct w:val="0"/>
        <w:autoSpaceDE w:val="0"/>
        <w:autoSpaceDN w:val="0"/>
        <w:adjustRightInd w:val="0"/>
        <w:ind w:right="128"/>
        <w:jc w:val="both"/>
        <w:rPr>
          <w:rFonts w:ascii="Arial" w:hAnsi="Arial" w:cs="Arial"/>
          <w:sz w:val="20"/>
          <w:szCs w:val="20"/>
        </w:rPr>
      </w:pPr>
      <w:r w:rsidRPr="00D86FD7">
        <w:rPr>
          <w:rFonts w:ascii="Arial" w:hAnsi="Arial" w:cs="Arial"/>
          <w:sz w:val="20"/>
          <w:szCs w:val="20"/>
        </w:rPr>
        <w:t xml:space="preserve">The planned drilling programme in both the Northern and Southern basins during 2015 opens up the prospect of further discoveries. This together with the </w:t>
      </w:r>
      <w:r>
        <w:rPr>
          <w:rFonts w:ascii="Arial" w:hAnsi="Arial" w:cs="Arial"/>
          <w:sz w:val="20"/>
          <w:szCs w:val="20"/>
        </w:rPr>
        <w:t>impact</w:t>
      </w:r>
      <w:r w:rsidRPr="00D86FD7">
        <w:rPr>
          <w:rFonts w:ascii="Arial" w:hAnsi="Arial" w:cs="Arial"/>
          <w:sz w:val="20"/>
          <w:szCs w:val="20"/>
        </w:rPr>
        <w:t xml:space="preserve"> of the Sea Lion discovery on the Falklands economy, mean that </w:t>
      </w:r>
      <w:r w:rsidR="00797C10">
        <w:rPr>
          <w:rFonts w:ascii="Arial" w:hAnsi="Arial" w:cs="Arial"/>
          <w:sz w:val="20"/>
          <w:szCs w:val="20"/>
        </w:rPr>
        <w:t>FIC has</w:t>
      </w:r>
      <w:r w:rsidRPr="00D86FD7">
        <w:rPr>
          <w:rFonts w:ascii="Arial" w:hAnsi="Arial" w:cs="Arial"/>
          <w:sz w:val="20"/>
          <w:szCs w:val="20"/>
        </w:rPr>
        <w:t xml:space="preserve"> </w:t>
      </w:r>
      <w:r w:rsidR="00790B93">
        <w:rPr>
          <w:rFonts w:ascii="Arial" w:hAnsi="Arial" w:cs="Arial"/>
          <w:sz w:val="20"/>
          <w:szCs w:val="20"/>
        </w:rPr>
        <w:t>good</w:t>
      </w:r>
      <w:r w:rsidR="005C1E35">
        <w:rPr>
          <w:rFonts w:ascii="Arial" w:hAnsi="Arial" w:cs="Arial"/>
          <w:sz w:val="20"/>
          <w:szCs w:val="20"/>
        </w:rPr>
        <w:t xml:space="preserve"> </w:t>
      </w:r>
      <w:r w:rsidRPr="00D86FD7">
        <w:rPr>
          <w:rFonts w:ascii="Arial" w:hAnsi="Arial" w:cs="Arial"/>
          <w:sz w:val="20"/>
          <w:szCs w:val="20"/>
        </w:rPr>
        <w:t>prospects for growth over the medium term.</w:t>
      </w:r>
    </w:p>
    <w:p w:rsidR="004A4E98" w:rsidRPr="003838DC" w:rsidRDefault="004A4E98" w:rsidP="00367AFF">
      <w:pPr>
        <w:widowControl w:val="0"/>
        <w:overflowPunct w:val="0"/>
        <w:autoSpaceDE w:val="0"/>
        <w:autoSpaceDN w:val="0"/>
        <w:adjustRightInd w:val="0"/>
        <w:ind w:right="128"/>
        <w:jc w:val="both"/>
        <w:rPr>
          <w:rFonts w:ascii="Arial" w:hAnsi="Arial" w:cs="Arial"/>
          <w:b/>
          <w:sz w:val="20"/>
          <w:szCs w:val="20"/>
        </w:rPr>
      </w:pPr>
      <w:r w:rsidRPr="003838DC">
        <w:rPr>
          <w:rFonts w:ascii="Arial" w:hAnsi="Arial" w:cs="Arial"/>
          <w:b/>
          <w:sz w:val="20"/>
          <w:szCs w:val="20"/>
        </w:rPr>
        <w:t xml:space="preserve">Trading Review </w:t>
      </w:r>
    </w:p>
    <w:p w:rsidR="00367AFF" w:rsidRPr="00D86FD7" w:rsidRDefault="00367AFF" w:rsidP="00367AFF">
      <w:pPr>
        <w:widowControl w:val="0"/>
        <w:overflowPunct w:val="0"/>
        <w:autoSpaceDE w:val="0"/>
        <w:autoSpaceDN w:val="0"/>
        <w:adjustRightInd w:val="0"/>
        <w:ind w:right="128"/>
        <w:jc w:val="both"/>
        <w:rPr>
          <w:rFonts w:ascii="Arial" w:hAnsi="Arial" w:cs="Arial"/>
          <w:sz w:val="20"/>
          <w:szCs w:val="20"/>
        </w:rPr>
      </w:pPr>
      <w:r>
        <w:rPr>
          <w:rFonts w:ascii="Arial" w:hAnsi="Arial" w:cs="Arial"/>
          <w:sz w:val="20"/>
          <w:szCs w:val="20"/>
        </w:rPr>
        <w:t>FIC has a</w:t>
      </w:r>
      <w:r w:rsidRPr="00D86FD7">
        <w:rPr>
          <w:rFonts w:ascii="Arial" w:hAnsi="Arial" w:cs="Arial"/>
          <w:sz w:val="20"/>
          <w:szCs w:val="20"/>
        </w:rPr>
        <w:t xml:space="preserve"> long established position as a leading local business</w:t>
      </w:r>
      <w:r w:rsidR="008824D2">
        <w:rPr>
          <w:rFonts w:ascii="Arial" w:hAnsi="Arial" w:cs="Arial"/>
          <w:sz w:val="20"/>
          <w:szCs w:val="20"/>
        </w:rPr>
        <w:t xml:space="preserve"> and</w:t>
      </w:r>
      <w:r w:rsidRPr="00D86FD7">
        <w:rPr>
          <w:rFonts w:ascii="Arial" w:hAnsi="Arial" w:cs="Arial"/>
          <w:sz w:val="20"/>
          <w:szCs w:val="20"/>
        </w:rPr>
        <w:t xml:space="preserve"> the wide range of retail and support services it can offer to </w:t>
      </w:r>
      <w:r w:rsidR="009F26A2">
        <w:rPr>
          <w:rFonts w:ascii="Arial" w:hAnsi="Arial" w:cs="Arial"/>
          <w:sz w:val="20"/>
          <w:szCs w:val="20"/>
        </w:rPr>
        <w:t>Islanders</w:t>
      </w:r>
      <w:r w:rsidRPr="00D86FD7">
        <w:rPr>
          <w:rFonts w:ascii="Arial" w:hAnsi="Arial" w:cs="Arial"/>
          <w:sz w:val="20"/>
          <w:szCs w:val="20"/>
        </w:rPr>
        <w:t xml:space="preserve">, government and oil companies makes </w:t>
      </w:r>
      <w:r>
        <w:rPr>
          <w:rFonts w:ascii="Arial" w:hAnsi="Arial" w:cs="Arial"/>
          <w:sz w:val="20"/>
          <w:szCs w:val="20"/>
        </w:rPr>
        <w:t>it</w:t>
      </w:r>
      <w:r w:rsidRPr="00D86FD7">
        <w:rPr>
          <w:rFonts w:ascii="Arial" w:hAnsi="Arial" w:cs="Arial"/>
          <w:sz w:val="20"/>
          <w:szCs w:val="20"/>
        </w:rPr>
        <w:t xml:space="preserve"> uniquely placed to benefit from the anticipated growth in the </w:t>
      </w:r>
      <w:r w:rsidR="008824D2">
        <w:rPr>
          <w:rFonts w:ascii="Arial" w:hAnsi="Arial" w:cs="Arial"/>
          <w:sz w:val="20"/>
          <w:szCs w:val="20"/>
        </w:rPr>
        <w:t xml:space="preserve">Falklands </w:t>
      </w:r>
      <w:r w:rsidRPr="00D86FD7">
        <w:rPr>
          <w:rFonts w:ascii="Arial" w:hAnsi="Arial" w:cs="Arial"/>
          <w:sz w:val="20"/>
          <w:szCs w:val="20"/>
        </w:rPr>
        <w:t xml:space="preserve">economy. </w:t>
      </w:r>
    </w:p>
    <w:p w:rsidR="00367AFF" w:rsidRPr="00D86FD7" w:rsidRDefault="00367AFF" w:rsidP="00367AFF">
      <w:pPr>
        <w:widowControl w:val="0"/>
        <w:overflowPunct w:val="0"/>
        <w:autoSpaceDE w:val="0"/>
        <w:autoSpaceDN w:val="0"/>
        <w:adjustRightInd w:val="0"/>
        <w:ind w:right="128"/>
        <w:jc w:val="both"/>
        <w:rPr>
          <w:rFonts w:ascii="Arial" w:hAnsi="Arial" w:cs="Arial"/>
          <w:sz w:val="20"/>
          <w:szCs w:val="20"/>
        </w:rPr>
      </w:pPr>
      <w:r w:rsidRPr="00D86FD7">
        <w:rPr>
          <w:rFonts w:ascii="Arial" w:hAnsi="Arial" w:cs="Arial"/>
          <w:sz w:val="20"/>
          <w:szCs w:val="20"/>
        </w:rPr>
        <w:t>In the year</w:t>
      </w:r>
      <w:r w:rsidR="008824D2">
        <w:rPr>
          <w:rFonts w:ascii="Arial" w:hAnsi="Arial" w:cs="Arial"/>
          <w:sz w:val="20"/>
          <w:szCs w:val="20"/>
        </w:rPr>
        <w:t>,</w:t>
      </w:r>
      <w:r w:rsidRPr="00D86FD7">
        <w:rPr>
          <w:rFonts w:ascii="Arial" w:hAnsi="Arial" w:cs="Arial"/>
          <w:sz w:val="20"/>
          <w:szCs w:val="20"/>
        </w:rPr>
        <w:t xml:space="preserve"> further steps were taken in modernising FIC and strengthening local management.</w:t>
      </w:r>
      <w:r>
        <w:rPr>
          <w:rFonts w:ascii="Arial" w:hAnsi="Arial" w:cs="Arial"/>
          <w:sz w:val="20"/>
          <w:szCs w:val="20"/>
        </w:rPr>
        <w:t xml:space="preserve"> </w:t>
      </w:r>
      <w:r w:rsidRPr="00D86FD7">
        <w:rPr>
          <w:rFonts w:ascii="Arial" w:hAnsi="Arial" w:cs="Arial"/>
          <w:sz w:val="20"/>
          <w:szCs w:val="20"/>
        </w:rPr>
        <w:t xml:space="preserve">In addition the benefits of earlier investment were seen with good growth in both the </w:t>
      </w:r>
      <w:r w:rsidR="008824D2">
        <w:rPr>
          <w:rFonts w:ascii="Arial" w:hAnsi="Arial" w:cs="Arial"/>
          <w:sz w:val="20"/>
          <w:szCs w:val="20"/>
        </w:rPr>
        <w:t>C</w:t>
      </w:r>
      <w:r w:rsidRPr="00D86FD7">
        <w:rPr>
          <w:rFonts w:ascii="Arial" w:hAnsi="Arial" w:cs="Arial"/>
          <w:sz w:val="20"/>
          <w:szCs w:val="20"/>
        </w:rPr>
        <w:t>ompany’s automotive business “Falklands 4x4” and in Falklands Building Services</w:t>
      </w:r>
      <w:r w:rsidR="008824D2">
        <w:rPr>
          <w:rFonts w:ascii="Arial" w:hAnsi="Arial" w:cs="Arial"/>
          <w:sz w:val="20"/>
          <w:szCs w:val="20"/>
        </w:rPr>
        <w:t xml:space="preserve"> </w:t>
      </w:r>
      <w:r w:rsidRPr="00D86FD7">
        <w:rPr>
          <w:rFonts w:ascii="Arial" w:hAnsi="Arial" w:cs="Arial"/>
          <w:sz w:val="20"/>
          <w:szCs w:val="20"/>
        </w:rPr>
        <w:t>(</w:t>
      </w:r>
      <w:r w:rsidR="008824D2">
        <w:rPr>
          <w:rFonts w:ascii="Arial" w:hAnsi="Arial" w:cs="Arial"/>
          <w:sz w:val="20"/>
          <w:szCs w:val="20"/>
        </w:rPr>
        <w:t>“</w:t>
      </w:r>
      <w:r w:rsidRPr="00D86FD7">
        <w:rPr>
          <w:rFonts w:ascii="Arial" w:hAnsi="Arial" w:cs="Arial"/>
          <w:sz w:val="20"/>
          <w:szCs w:val="20"/>
        </w:rPr>
        <w:t>FBS</w:t>
      </w:r>
      <w:r w:rsidR="008824D2">
        <w:rPr>
          <w:rFonts w:ascii="Arial" w:hAnsi="Arial" w:cs="Arial"/>
          <w:sz w:val="20"/>
          <w:szCs w:val="20"/>
        </w:rPr>
        <w:t>”</w:t>
      </w:r>
      <w:r w:rsidRPr="00D86FD7">
        <w:rPr>
          <w:rFonts w:ascii="Arial" w:hAnsi="Arial" w:cs="Arial"/>
          <w:sz w:val="20"/>
          <w:szCs w:val="20"/>
        </w:rPr>
        <w:t>)</w:t>
      </w:r>
      <w:r>
        <w:rPr>
          <w:rFonts w:ascii="Arial" w:hAnsi="Arial" w:cs="Arial"/>
          <w:sz w:val="20"/>
          <w:szCs w:val="20"/>
        </w:rPr>
        <w:t>.</w:t>
      </w:r>
      <w:r w:rsidRPr="00D86FD7">
        <w:rPr>
          <w:rFonts w:ascii="Arial" w:hAnsi="Arial" w:cs="Arial"/>
          <w:sz w:val="20"/>
          <w:szCs w:val="20"/>
        </w:rPr>
        <w:t xml:space="preserve">  As a result, despite the downturn in retail demand and freight income, overall revenue in FIC increased by £0.66</w:t>
      </w:r>
      <w:r>
        <w:rPr>
          <w:rFonts w:ascii="Arial" w:hAnsi="Arial" w:cs="Arial"/>
          <w:sz w:val="20"/>
          <w:szCs w:val="20"/>
        </w:rPr>
        <w:t xml:space="preserve"> </w:t>
      </w:r>
      <w:r w:rsidRPr="00D86FD7">
        <w:rPr>
          <w:rFonts w:ascii="Arial" w:hAnsi="Arial" w:cs="Arial"/>
          <w:sz w:val="20"/>
          <w:szCs w:val="20"/>
        </w:rPr>
        <w:t>m</w:t>
      </w:r>
      <w:r>
        <w:rPr>
          <w:rFonts w:ascii="Arial" w:hAnsi="Arial" w:cs="Arial"/>
          <w:sz w:val="20"/>
          <w:szCs w:val="20"/>
        </w:rPr>
        <w:t>illion</w:t>
      </w:r>
      <w:r w:rsidRPr="00D86FD7">
        <w:rPr>
          <w:rFonts w:ascii="Arial" w:hAnsi="Arial" w:cs="Arial"/>
          <w:sz w:val="20"/>
          <w:szCs w:val="20"/>
        </w:rPr>
        <w:t xml:space="preserve"> (+4.3%) to £15.88 million (</w:t>
      </w:r>
      <w:r w:rsidRPr="00D86FD7">
        <w:rPr>
          <w:rFonts w:ascii="Arial" w:hAnsi="Arial" w:cs="Arial"/>
          <w:i/>
          <w:sz w:val="20"/>
          <w:szCs w:val="20"/>
        </w:rPr>
        <w:t>2013: £15.22 million</w:t>
      </w:r>
      <w:r w:rsidRPr="00D86FD7">
        <w:rPr>
          <w:rFonts w:ascii="Arial" w:hAnsi="Arial" w:cs="Arial"/>
          <w:sz w:val="20"/>
          <w:szCs w:val="20"/>
        </w:rPr>
        <w:t>).</w:t>
      </w:r>
    </w:p>
    <w:p w:rsidR="00367AFF" w:rsidRPr="00E131E9" w:rsidRDefault="00367AFF" w:rsidP="00367AFF">
      <w:pPr>
        <w:widowControl w:val="0"/>
        <w:overflowPunct w:val="0"/>
        <w:autoSpaceDE w:val="0"/>
        <w:autoSpaceDN w:val="0"/>
        <w:adjustRightInd w:val="0"/>
        <w:ind w:right="128"/>
        <w:jc w:val="both"/>
        <w:rPr>
          <w:rFonts w:ascii="Arial" w:hAnsi="Arial" w:cs="Arial"/>
          <w:sz w:val="20"/>
          <w:szCs w:val="20"/>
        </w:rPr>
      </w:pPr>
      <w:r w:rsidRPr="00D86FD7">
        <w:rPr>
          <w:rFonts w:ascii="Arial" w:hAnsi="Arial" w:cs="Arial"/>
          <w:sz w:val="20"/>
          <w:szCs w:val="20"/>
        </w:rPr>
        <w:t xml:space="preserve">However, increased freight </w:t>
      </w:r>
      <w:r>
        <w:rPr>
          <w:rFonts w:ascii="Arial" w:hAnsi="Arial" w:cs="Arial"/>
          <w:sz w:val="20"/>
          <w:szCs w:val="20"/>
        </w:rPr>
        <w:t xml:space="preserve">costs and wage inflation of some 5% saw continued pressure on profits.  Helped by FBS and strong demand for new 4x4 vehicles, profitability in the second half recovered to be on a par with the prior year, but the slow start to the year meant that overall </w:t>
      </w:r>
      <w:r w:rsidR="004A4E98">
        <w:rPr>
          <w:rFonts w:ascii="Arial" w:hAnsi="Arial" w:cs="Arial"/>
          <w:sz w:val="20"/>
          <w:szCs w:val="20"/>
        </w:rPr>
        <w:t xml:space="preserve">underlying </w:t>
      </w:r>
      <w:r>
        <w:rPr>
          <w:rFonts w:ascii="Arial" w:hAnsi="Arial" w:cs="Arial"/>
          <w:sz w:val="20"/>
          <w:szCs w:val="20"/>
        </w:rPr>
        <w:t>op</w:t>
      </w:r>
      <w:r w:rsidRPr="00E131E9">
        <w:rPr>
          <w:rFonts w:ascii="Arial" w:hAnsi="Arial" w:cs="Arial"/>
          <w:sz w:val="20"/>
          <w:szCs w:val="20"/>
        </w:rPr>
        <w:t xml:space="preserve">erating profits </w:t>
      </w:r>
      <w:r>
        <w:rPr>
          <w:rFonts w:ascii="Arial" w:hAnsi="Arial" w:cs="Arial"/>
          <w:sz w:val="20"/>
          <w:szCs w:val="20"/>
        </w:rPr>
        <w:t xml:space="preserve">were </w:t>
      </w:r>
      <w:r w:rsidRPr="00E131E9">
        <w:rPr>
          <w:rFonts w:ascii="Arial" w:hAnsi="Arial" w:cs="Arial"/>
          <w:sz w:val="20"/>
          <w:szCs w:val="20"/>
        </w:rPr>
        <w:t>£0.</w:t>
      </w:r>
      <w:r>
        <w:rPr>
          <w:rFonts w:ascii="Arial" w:hAnsi="Arial" w:cs="Arial"/>
          <w:sz w:val="20"/>
          <w:szCs w:val="20"/>
        </w:rPr>
        <w:t xml:space="preserve">32 </w:t>
      </w:r>
      <w:r w:rsidRPr="00E131E9">
        <w:rPr>
          <w:rFonts w:ascii="Arial" w:hAnsi="Arial" w:cs="Arial"/>
          <w:sz w:val="20"/>
          <w:szCs w:val="20"/>
        </w:rPr>
        <w:t>million lower at £1.</w:t>
      </w:r>
      <w:r>
        <w:rPr>
          <w:rFonts w:ascii="Arial" w:hAnsi="Arial" w:cs="Arial"/>
          <w:sz w:val="20"/>
          <w:szCs w:val="20"/>
        </w:rPr>
        <w:t>01 million (</w:t>
      </w:r>
      <w:r w:rsidRPr="00A33751">
        <w:rPr>
          <w:rFonts w:ascii="Arial" w:hAnsi="Arial" w:cs="Arial"/>
          <w:i/>
          <w:sz w:val="20"/>
          <w:szCs w:val="20"/>
        </w:rPr>
        <w:t>2013</w:t>
      </w:r>
      <w:r>
        <w:rPr>
          <w:rFonts w:ascii="Arial" w:hAnsi="Arial" w:cs="Arial"/>
          <w:i/>
          <w:sz w:val="20"/>
          <w:szCs w:val="20"/>
        </w:rPr>
        <w:t>:</w:t>
      </w:r>
      <w:r w:rsidRPr="00A33751">
        <w:rPr>
          <w:rFonts w:ascii="Arial" w:hAnsi="Arial" w:cs="Arial"/>
          <w:i/>
          <w:sz w:val="20"/>
          <w:szCs w:val="20"/>
        </w:rPr>
        <w:t xml:space="preserve"> £1.33 million</w:t>
      </w:r>
      <w:r>
        <w:rPr>
          <w:rFonts w:ascii="Arial" w:hAnsi="Arial" w:cs="Arial"/>
          <w:sz w:val="20"/>
          <w:szCs w:val="20"/>
        </w:rPr>
        <w:t xml:space="preserve">).  </w:t>
      </w:r>
    </w:p>
    <w:p w:rsidR="00367AFF" w:rsidRPr="00E131E9" w:rsidRDefault="00367AFF" w:rsidP="00367AFF">
      <w:pPr>
        <w:widowControl w:val="0"/>
        <w:overflowPunct w:val="0"/>
        <w:autoSpaceDE w:val="0"/>
        <w:autoSpaceDN w:val="0"/>
        <w:adjustRightInd w:val="0"/>
        <w:ind w:right="128"/>
        <w:jc w:val="both"/>
        <w:rPr>
          <w:rFonts w:ascii="Arial" w:hAnsi="Arial" w:cs="Arial"/>
          <w:sz w:val="20"/>
          <w:szCs w:val="20"/>
        </w:rPr>
      </w:pPr>
    </w:p>
    <w:tbl>
      <w:tblPr>
        <w:tblW w:w="9072" w:type="dxa"/>
        <w:tblLayout w:type="fixed"/>
        <w:tblCellMar>
          <w:left w:w="0" w:type="dxa"/>
          <w:right w:w="0" w:type="dxa"/>
        </w:tblCellMar>
        <w:tblLook w:val="0000" w:firstRow="0" w:lastRow="0" w:firstColumn="0" w:lastColumn="0" w:noHBand="0" w:noVBand="0"/>
      </w:tblPr>
      <w:tblGrid>
        <w:gridCol w:w="5670"/>
        <w:gridCol w:w="993"/>
        <w:gridCol w:w="1275"/>
        <w:gridCol w:w="1134"/>
      </w:tblGrid>
      <w:tr w:rsidR="00367AFF" w:rsidRPr="00E131E9" w:rsidTr="00367AFF">
        <w:trPr>
          <w:trHeight w:val="161"/>
        </w:trPr>
        <w:tc>
          <w:tcPr>
            <w:tcW w:w="5670"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FIC Operating results</w:t>
            </w:r>
          </w:p>
        </w:tc>
        <w:tc>
          <w:tcPr>
            <w:tcW w:w="993"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134"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r>
      <w:tr w:rsidR="00367AFF" w:rsidRPr="00E131E9" w:rsidTr="00367AFF">
        <w:trPr>
          <w:trHeight w:val="355"/>
        </w:trPr>
        <w:tc>
          <w:tcPr>
            <w:tcW w:w="5670"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left="40"/>
              <w:rPr>
                <w:rFonts w:ascii="Arial" w:hAnsi="Arial" w:cs="Arial"/>
                <w:sz w:val="20"/>
                <w:szCs w:val="20"/>
              </w:rPr>
            </w:pPr>
            <w:r w:rsidRPr="00E131E9">
              <w:rPr>
                <w:rFonts w:ascii="Arial" w:hAnsi="Arial" w:cs="Arial"/>
                <w:sz w:val="20"/>
                <w:szCs w:val="20"/>
              </w:rPr>
              <w:t>Year ended 31 March</w:t>
            </w:r>
          </w:p>
        </w:tc>
        <w:tc>
          <w:tcPr>
            <w:tcW w:w="993"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sidRPr="00E131E9">
              <w:rPr>
                <w:rFonts w:ascii="Arial" w:hAnsi="Arial" w:cs="Arial"/>
                <w:sz w:val="20"/>
                <w:szCs w:val="20"/>
              </w:rPr>
              <w:t>201</w:t>
            </w:r>
            <w:r>
              <w:rPr>
                <w:rFonts w:ascii="Arial" w:hAnsi="Arial" w:cs="Arial"/>
                <w:sz w:val="20"/>
                <w:szCs w:val="20"/>
              </w:rPr>
              <w:t>4</w:t>
            </w:r>
          </w:p>
        </w:tc>
        <w:tc>
          <w:tcPr>
            <w:tcW w:w="1275"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sidRPr="00E131E9">
              <w:rPr>
                <w:rFonts w:ascii="Arial" w:hAnsi="Arial" w:cs="Arial"/>
                <w:sz w:val="20"/>
                <w:szCs w:val="20"/>
              </w:rPr>
              <w:t>201</w:t>
            </w:r>
            <w:r>
              <w:rPr>
                <w:rFonts w:ascii="Arial" w:hAnsi="Arial" w:cs="Arial"/>
                <w:sz w:val="20"/>
                <w:szCs w:val="20"/>
              </w:rPr>
              <w:t>3</w:t>
            </w:r>
          </w:p>
        </w:tc>
        <w:tc>
          <w:tcPr>
            <w:tcW w:w="1134"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right="24"/>
              <w:jc w:val="right"/>
              <w:rPr>
                <w:rFonts w:ascii="Arial" w:hAnsi="Arial" w:cs="Arial"/>
                <w:sz w:val="20"/>
                <w:szCs w:val="20"/>
              </w:rPr>
            </w:pPr>
            <w:r w:rsidRPr="00E131E9">
              <w:rPr>
                <w:rFonts w:ascii="Arial" w:hAnsi="Arial" w:cs="Arial"/>
                <w:i/>
                <w:iCs/>
                <w:sz w:val="20"/>
                <w:szCs w:val="20"/>
              </w:rPr>
              <w:t>Change</w:t>
            </w:r>
          </w:p>
        </w:tc>
      </w:tr>
      <w:tr w:rsidR="00367AFF" w:rsidRPr="00E131E9" w:rsidTr="00367AFF">
        <w:trPr>
          <w:trHeight w:val="180"/>
        </w:trPr>
        <w:tc>
          <w:tcPr>
            <w:tcW w:w="5670"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sidRPr="00E131E9">
              <w:rPr>
                <w:rFonts w:ascii="Arial" w:hAnsi="Arial" w:cs="Arial"/>
                <w:sz w:val="20"/>
                <w:szCs w:val="20"/>
              </w:rPr>
              <w:t>£m</w:t>
            </w:r>
          </w:p>
        </w:tc>
        <w:tc>
          <w:tcPr>
            <w:tcW w:w="1275"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sidRPr="00E131E9">
              <w:rPr>
                <w:rFonts w:ascii="Arial" w:hAnsi="Arial" w:cs="Arial"/>
                <w:sz w:val="20"/>
                <w:szCs w:val="20"/>
              </w:rPr>
              <w:t>£m</w:t>
            </w:r>
          </w:p>
        </w:tc>
        <w:tc>
          <w:tcPr>
            <w:tcW w:w="1134"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ind w:right="24"/>
              <w:jc w:val="right"/>
              <w:rPr>
                <w:rFonts w:ascii="Arial" w:hAnsi="Arial" w:cs="Arial"/>
                <w:sz w:val="20"/>
                <w:szCs w:val="20"/>
              </w:rPr>
            </w:pPr>
            <w:r w:rsidRPr="00E131E9">
              <w:rPr>
                <w:rFonts w:ascii="Arial" w:hAnsi="Arial" w:cs="Arial"/>
                <w:i/>
                <w:iCs/>
                <w:sz w:val="20"/>
                <w:szCs w:val="20"/>
              </w:rPr>
              <w:t>%</w:t>
            </w:r>
          </w:p>
        </w:tc>
      </w:tr>
      <w:tr w:rsidR="00367AFF" w:rsidRPr="00E131E9" w:rsidTr="00367AFF">
        <w:trPr>
          <w:trHeight w:val="405"/>
        </w:trPr>
        <w:tc>
          <w:tcPr>
            <w:tcW w:w="5670"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left="40"/>
              <w:rPr>
                <w:rFonts w:ascii="Arial" w:hAnsi="Arial" w:cs="Arial"/>
                <w:sz w:val="20"/>
                <w:szCs w:val="20"/>
              </w:rPr>
            </w:pPr>
            <w:r w:rsidRPr="00E131E9">
              <w:rPr>
                <w:rFonts w:ascii="Arial" w:hAnsi="Arial" w:cs="Arial"/>
                <w:i/>
                <w:iCs/>
                <w:sz w:val="20"/>
                <w:szCs w:val="20"/>
              </w:rPr>
              <w:t>Revenues</w:t>
            </w:r>
          </w:p>
        </w:tc>
        <w:tc>
          <w:tcPr>
            <w:tcW w:w="993"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134" w:type="dxa"/>
            <w:tcBorders>
              <w:top w:val="single" w:sz="4" w:space="0" w:color="auto"/>
              <w:left w:val="nil"/>
              <w:bottom w:val="nil"/>
              <w:right w:val="nil"/>
            </w:tcBorders>
            <w:vAlign w:val="bottom"/>
          </w:tcPr>
          <w:p w:rsidR="00367AFF" w:rsidRDefault="00367AFF" w:rsidP="00367AFF">
            <w:pPr>
              <w:widowControl w:val="0"/>
              <w:autoSpaceDE w:val="0"/>
              <w:autoSpaceDN w:val="0"/>
              <w:adjustRightInd w:val="0"/>
              <w:spacing w:after="0" w:line="0" w:lineRule="atLeast"/>
              <w:rPr>
                <w:rFonts w:ascii="Arial" w:hAnsi="Arial" w:cs="Arial"/>
                <w:sz w:val="20"/>
                <w:szCs w:val="20"/>
              </w:rPr>
            </w:pPr>
          </w:p>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r>
      <w:tr w:rsidR="00367AFF" w:rsidRPr="00E131E9" w:rsidTr="00367AFF">
        <w:trPr>
          <w:trHeight w:val="283"/>
        </w:trPr>
        <w:tc>
          <w:tcPr>
            <w:tcW w:w="5670"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left="40"/>
              <w:rPr>
                <w:rFonts w:ascii="Arial" w:hAnsi="Arial" w:cs="Arial"/>
                <w:sz w:val="20"/>
                <w:szCs w:val="20"/>
              </w:rPr>
            </w:pPr>
            <w:r w:rsidRPr="00E131E9">
              <w:rPr>
                <w:rFonts w:ascii="Arial" w:hAnsi="Arial" w:cs="Arial"/>
                <w:sz w:val="20"/>
                <w:szCs w:val="20"/>
              </w:rPr>
              <w:t>Retail</w:t>
            </w:r>
          </w:p>
        </w:tc>
        <w:tc>
          <w:tcPr>
            <w:tcW w:w="993"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Pr>
                <w:rFonts w:ascii="Arial" w:hAnsi="Arial" w:cs="Arial"/>
                <w:sz w:val="20"/>
                <w:szCs w:val="20"/>
              </w:rPr>
              <w:t>9.26</w:t>
            </w:r>
          </w:p>
        </w:tc>
        <w:tc>
          <w:tcPr>
            <w:tcW w:w="1275"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sidRPr="00E131E9">
              <w:rPr>
                <w:rFonts w:ascii="Arial" w:hAnsi="Arial" w:cs="Arial"/>
                <w:sz w:val="20"/>
                <w:szCs w:val="20"/>
              </w:rPr>
              <w:t>9.73</w:t>
            </w:r>
          </w:p>
        </w:tc>
        <w:tc>
          <w:tcPr>
            <w:tcW w:w="1134" w:type="dxa"/>
            <w:tcBorders>
              <w:top w:val="nil"/>
              <w:left w:val="nil"/>
              <w:bottom w:val="nil"/>
              <w:right w:val="nil"/>
            </w:tcBorders>
            <w:vAlign w:val="bottom"/>
          </w:tcPr>
          <w:p w:rsidR="00367AFF" w:rsidRPr="003E44EB" w:rsidRDefault="00367AFF" w:rsidP="00F90DE7">
            <w:pPr>
              <w:widowControl w:val="0"/>
              <w:autoSpaceDE w:val="0"/>
              <w:autoSpaceDN w:val="0"/>
              <w:adjustRightInd w:val="0"/>
              <w:spacing w:after="0" w:line="0" w:lineRule="atLeast"/>
              <w:jc w:val="right"/>
              <w:rPr>
                <w:rFonts w:ascii="Arial" w:hAnsi="Arial" w:cs="Arial"/>
                <w:i/>
                <w:sz w:val="20"/>
                <w:szCs w:val="20"/>
              </w:rPr>
            </w:pPr>
            <w:r w:rsidRPr="003E44EB">
              <w:rPr>
                <w:rFonts w:ascii="Arial" w:hAnsi="Arial" w:cs="Arial"/>
                <w:i/>
                <w:sz w:val="20"/>
                <w:szCs w:val="20"/>
              </w:rPr>
              <w:t>-4.8</w:t>
            </w:r>
          </w:p>
        </w:tc>
      </w:tr>
      <w:tr w:rsidR="00367AFF" w:rsidRPr="00E131E9" w:rsidTr="00367AFF">
        <w:trPr>
          <w:trHeight w:val="283"/>
        </w:trPr>
        <w:tc>
          <w:tcPr>
            <w:tcW w:w="5670"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left="40"/>
              <w:rPr>
                <w:rFonts w:ascii="Arial" w:hAnsi="Arial" w:cs="Arial"/>
                <w:sz w:val="20"/>
                <w:szCs w:val="20"/>
              </w:rPr>
            </w:pPr>
            <w:r w:rsidRPr="00E131E9">
              <w:rPr>
                <w:rFonts w:ascii="Arial" w:hAnsi="Arial" w:cs="Arial"/>
                <w:sz w:val="20"/>
                <w:szCs w:val="20"/>
              </w:rPr>
              <w:t xml:space="preserve">Falklands 4x4  </w:t>
            </w:r>
          </w:p>
        </w:tc>
        <w:tc>
          <w:tcPr>
            <w:tcW w:w="993"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Pr>
                <w:rFonts w:ascii="Arial" w:hAnsi="Arial" w:cs="Arial"/>
                <w:sz w:val="20"/>
                <w:szCs w:val="20"/>
              </w:rPr>
              <w:t>2.66</w:t>
            </w:r>
          </w:p>
        </w:tc>
        <w:tc>
          <w:tcPr>
            <w:tcW w:w="1275"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sidRPr="00E131E9">
              <w:rPr>
                <w:rFonts w:ascii="Arial" w:hAnsi="Arial" w:cs="Arial"/>
                <w:sz w:val="20"/>
                <w:szCs w:val="20"/>
              </w:rPr>
              <w:t>1.87</w:t>
            </w:r>
          </w:p>
        </w:tc>
        <w:tc>
          <w:tcPr>
            <w:tcW w:w="1134" w:type="dxa"/>
            <w:tcBorders>
              <w:top w:val="nil"/>
              <w:left w:val="nil"/>
              <w:bottom w:val="nil"/>
              <w:right w:val="nil"/>
            </w:tcBorders>
            <w:vAlign w:val="bottom"/>
          </w:tcPr>
          <w:p w:rsidR="00367AFF" w:rsidRPr="003E44EB" w:rsidRDefault="00367AFF" w:rsidP="00F90DE7">
            <w:pPr>
              <w:widowControl w:val="0"/>
              <w:autoSpaceDE w:val="0"/>
              <w:autoSpaceDN w:val="0"/>
              <w:adjustRightInd w:val="0"/>
              <w:spacing w:after="0" w:line="0" w:lineRule="atLeast"/>
              <w:jc w:val="right"/>
              <w:rPr>
                <w:rFonts w:ascii="Arial" w:hAnsi="Arial" w:cs="Arial"/>
                <w:i/>
                <w:sz w:val="20"/>
                <w:szCs w:val="20"/>
              </w:rPr>
            </w:pPr>
            <w:r w:rsidRPr="003E44EB">
              <w:rPr>
                <w:rFonts w:ascii="Arial" w:hAnsi="Arial" w:cs="Arial"/>
                <w:i/>
                <w:sz w:val="20"/>
                <w:szCs w:val="20"/>
              </w:rPr>
              <w:t>42.3</w:t>
            </w:r>
          </w:p>
        </w:tc>
      </w:tr>
      <w:tr w:rsidR="00367AFF" w:rsidRPr="00E131E9" w:rsidTr="00367AFF">
        <w:trPr>
          <w:trHeight w:val="283"/>
        </w:trPr>
        <w:tc>
          <w:tcPr>
            <w:tcW w:w="5670"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left="40"/>
              <w:rPr>
                <w:rFonts w:ascii="Arial" w:hAnsi="Arial" w:cs="Arial"/>
                <w:sz w:val="20"/>
                <w:szCs w:val="20"/>
              </w:rPr>
            </w:pPr>
            <w:r w:rsidRPr="00E131E9">
              <w:rPr>
                <w:rFonts w:ascii="Arial" w:hAnsi="Arial" w:cs="Arial"/>
                <w:sz w:val="20"/>
                <w:szCs w:val="20"/>
              </w:rPr>
              <w:t>Freight &amp; Port Services</w:t>
            </w:r>
          </w:p>
        </w:tc>
        <w:tc>
          <w:tcPr>
            <w:tcW w:w="993"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Pr>
                <w:rFonts w:ascii="Arial" w:hAnsi="Arial" w:cs="Arial"/>
                <w:sz w:val="20"/>
                <w:szCs w:val="20"/>
              </w:rPr>
              <w:t>1.26</w:t>
            </w:r>
          </w:p>
        </w:tc>
        <w:tc>
          <w:tcPr>
            <w:tcW w:w="1275"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sidRPr="00E131E9">
              <w:rPr>
                <w:rFonts w:ascii="Arial" w:hAnsi="Arial" w:cs="Arial"/>
                <w:sz w:val="20"/>
                <w:szCs w:val="20"/>
              </w:rPr>
              <w:t>1.65</w:t>
            </w:r>
          </w:p>
        </w:tc>
        <w:tc>
          <w:tcPr>
            <w:tcW w:w="1134" w:type="dxa"/>
            <w:tcBorders>
              <w:top w:val="nil"/>
              <w:left w:val="nil"/>
              <w:bottom w:val="nil"/>
              <w:right w:val="nil"/>
            </w:tcBorders>
            <w:vAlign w:val="bottom"/>
          </w:tcPr>
          <w:p w:rsidR="00367AFF" w:rsidRPr="003E44EB" w:rsidRDefault="00367AFF" w:rsidP="00F90DE7">
            <w:pPr>
              <w:widowControl w:val="0"/>
              <w:autoSpaceDE w:val="0"/>
              <w:autoSpaceDN w:val="0"/>
              <w:adjustRightInd w:val="0"/>
              <w:spacing w:after="0" w:line="0" w:lineRule="atLeast"/>
              <w:ind w:right="24"/>
              <w:jc w:val="right"/>
              <w:rPr>
                <w:rFonts w:ascii="Arial" w:hAnsi="Arial" w:cs="Arial"/>
                <w:i/>
                <w:sz w:val="20"/>
                <w:szCs w:val="20"/>
              </w:rPr>
            </w:pPr>
            <w:r w:rsidRPr="003E44EB">
              <w:rPr>
                <w:rFonts w:ascii="Arial" w:hAnsi="Arial" w:cs="Arial"/>
                <w:i/>
                <w:sz w:val="20"/>
                <w:szCs w:val="20"/>
              </w:rPr>
              <w:t>-23.5</w:t>
            </w:r>
          </w:p>
        </w:tc>
      </w:tr>
      <w:tr w:rsidR="00367AFF" w:rsidRPr="00E131E9" w:rsidTr="00367AFF">
        <w:trPr>
          <w:trHeight w:val="283"/>
        </w:trPr>
        <w:tc>
          <w:tcPr>
            <w:tcW w:w="5670"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left="40"/>
              <w:rPr>
                <w:rFonts w:ascii="Arial" w:hAnsi="Arial" w:cs="Arial"/>
                <w:sz w:val="20"/>
                <w:szCs w:val="20"/>
              </w:rPr>
            </w:pPr>
            <w:r w:rsidRPr="00E131E9">
              <w:rPr>
                <w:rFonts w:ascii="Arial" w:hAnsi="Arial" w:cs="Arial"/>
                <w:sz w:val="20"/>
                <w:szCs w:val="20"/>
              </w:rPr>
              <w:t>Support services</w:t>
            </w:r>
          </w:p>
        </w:tc>
        <w:tc>
          <w:tcPr>
            <w:tcW w:w="993"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Pr>
                <w:rFonts w:ascii="Arial" w:hAnsi="Arial" w:cs="Arial"/>
                <w:sz w:val="20"/>
                <w:szCs w:val="20"/>
              </w:rPr>
              <w:t>1.30</w:t>
            </w:r>
          </w:p>
        </w:tc>
        <w:tc>
          <w:tcPr>
            <w:tcW w:w="1275"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sidRPr="00E131E9">
              <w:rPr>
                <w:rFonts w:ascii="Arial" w:hAnsi="Arial" w:cs="Arial"/>
                <w:sz w:val="20"/>
                <w:szCs w:val="20"/>
              </w:rPr>
              <w:t>1.21</w:t>
            </w:r>
          </w:p>
        </w:tc>
        <w:tc>
          <w:tcPr>
            <w:tcW w:w="1134" w:type="dxa"/>
            <w:tcBorders>
              <w:top w:val="nil"/>
              <w:left w:val="nil"/>
              <w:bottom w:val="nil"/>
              <w:right w:val="nil"/>
            </w:tcBorders>
            <w:vAlign w:val="bottom"/>
          </w:tcPr>
          <w:p w:rsidR="00367AFF" w:rsidRPr="003E44EB" w:rsidRDefault="00367AFF" w:rsidP="00F90DE7">
            <w:pPr>
              <w:widowControl w:val="0"/>
              <w:autoSpaceDE w:val="0"/>
              <w:autoSpaceDN w:val="0"/>
              <w:adjustRightInd w:val="0"/>
              <w:spacing w:after="0" w:line="0" w:lineRule="atLeast"/>
              <w:ind w:right="24"/>
              <w:jc w:val="right"/>
              <w:rPr>
                <w:rFonts w:ascii="Arial" w:hAnsi="Arial" w:cs="Arial"/>
                <w:i/>
                <w:sz w:val="20"/>
                <w:szCs w:val="20"/>
              </w:rPr>
            </w:pPr>
            <w:r w:rsidRPr="003E44EB">
              <w:rPr>
                <w:rFonts w:ascii="Arial" w:hAnsi="Arial" w:cs="Arial"/>
                <w:i/>
                <w:sz w:val="20"/>
                <w:szCs w:val="20"/>
              </w:rPr>
              <w:t>6.7</w:t>
            </w:r>
          </w:p>
        </w:tc>
      </w:tr>
      <w:tr w:rsidR="00367AFF" w:rsidRPr="00E131E9" w:rsidTr="00367AFF">
        <w:trPr>
          <w:trHeight w:val="283"/>
        </w:trPr>
        <w:tc>
          <w:tcPr>
            <w:tcW w:w="5670"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left="40"/>
              <w:rPr>
                <w:rFonts w:ascii="Arial" w:hAnsi="Arial" w:cs="Arial"/>
                <w:sz w:val="20"/>
                <w:szCs w:val="20"/>
              </w:rPr>
            </w:pPr>
            <w:r>
              <w:rPr>
                <w:rFonts w:ascii="Arial" w:hAnsi="Arial" w:cs="Arial"/>
                <w:sz w:val="20"/>
                <w:szCs w:val="20"/>
              </w:rPr>
              <w:t>FBS (property and construction)</w:t>
            </w:r>
          </w:p>
        </w:tc>
        <w:tc>
          <w:tcPr>
            <w:tcW w:w="993"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Pr>
                <w:rFonts w:ascii="Arial" w:hAnsi="Arial" w:cs="Arial"/>
                <w:sz w:val="20"/>
                <w:szCs w:val="20"/>
              </w:rPr>
              <w:t>1.40</w:t>
            </w:r>
          </w:p>
        </w:tc>
        <w:tc>
          <w:tcPr>
            <w:tcW w:w="1275"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sidRPr="00E131E9">
              <w:rPr>
                <w:rFonts w:ascii="Arial" w:hAnsi="Arial" w:cs="Arial"/>
                <w:sz w:val="20"/>
                <w:szCs w:val="20"/>
              </w:rPr>
              <w:t>0.76</w:t>
            </w:r>
          </w:p>
        </w:tc>
        <w:tc>
          <w:tcPr>
            <w:tcW w:w="1134" w:type="dxa"/>
            <w:tcBorders>
              <w:top w:val="nil"/>
              <w:left w:val="nil"/>
              <w:right w:val="nil"/>
            </w:tcBorders>
            <w:vAlign w:val="bottom"/>
          </w:tcPr>
          <w:p w:rsidR="00367AFF" w:rsidRPr="003E44EB" w:rsidRDefault="00367AFF" w:rsidP="00F90DE7">
            <w:pPr>
              <w:widowControl w:val="0"/>
              <w:autoSpaceDE w:val="0"/>
              <w:autoSpaceDN w:val="0"/>
              <w:adjustRightInd w:val="0"/>
              <w:spacing w:after="0" w:line="0" w:lineRule="atLeast"/>
              <w:jc w:val="right"/>
              <w:rPr>
                <w:rFonts w:ascii="Arial" w:hAnsi="Arial" w:cs="Arial"/>
                <w:i/>
                <w:sz w:val="20"/>
                <w:szCs w:val="20"/>
              </w:rPr>
            </w:pPr>
            <w:r w:rsidRPr="003E44EB">
              <w:rPr>
                <w:rFonts w:ascii="Arial" w:hAnsi="Arial" w:cs="Arial"/>
                <w:i/>
                <w:sz w:val="20"/>
                <w:szCs w:val="20"/>
              </w:rPr>
              <w:t>85.6</w:t>
            </w:r>
          </w:p>
        </w:tc>
      </w:tr>
      <w:tr w:rsidR="00367AFF" w:rsidRPr="00E131E9" w:rsidTr="00367AFF">
        <w:trPr>
          <w:trHeight w:val="31"/>
        </w:trPr>
        <w:tc>
          <w:tcPr>
            <w:tcW w:w="5670"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134" w:type="dxa"/>
            <w:tcBorders>
              <w:top w:val="nil"/>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0" w:lineRule="atLeast"/>
              <w:rPr>
                <w:rFonts w:ascii="Arial" w:hAnsi="Arial" w:cs="Arial"/>
                <w:i/>
                <w:sz w:val="20"/>
                <w:szCs w:val="20"/>
              </w:rPr>
            </w:pPr>
          </w:p>
        </w:tc>
      </w:tr>
      <w:tr w:rsidR="00367AFF" w:rsidRPr="00E131E9" w:rsidTr="00367AFF">
        <w:trPr>
          <w:trHeight w:val="261"/>
        </w:trPr>
        <w:tc>
          <w:tcPr>
            <w:tcW w:w="5670" w:type="dxa"/>
            <w:tcBorders>
              <w:top w:val="single" w:sz="4" w:space="0" w:color="auto"/>
              <w:left w:val="nil"/>
              <w:right w:val="nil"/>
            </w:tcBorders>
            <w:vAlign w:val="bottom"/>
          </w:tcPr>
          <w:p w:rsidR="00367AFF" w:rsidRPr="00FB6C11" w:rsidRDefault="00367AFF" w:rsidP="00367AFF">
            <w:pPr>
              <w:widowControl w:val="0"/>
              <w:autoSpaceDE w:val="0"/>
              <w:autoSpaceDN w:val="0"/>
              <w:adjustRightInd w:val="0"/>
              <w:spacing w:after="0" w:line="0" w:lineRule="atLeast"/>
              <w:ind w:left="40"/>
              <w:rPr>
                <w:rFonts w:ascii="Arial" w:hAnsi="Arial" w:cs="Arial"/>
                <w:b/>
                <w:sz w:val="20"/>
                <w:szCs w:val="20"/>
              </w:rPr>
            </w:pPr>
            <w:r w:rsidRPr="00FB6C11">
              <w:rPr>
                <w:rFonts w:ascii="Arial" w:hAnsi="Arial" w:cs="Arial"/>
                <w:b/>
                <w:sz w:val="20"/>
                <w:szCs w:val="20"/>
              </w:rPr>
              <w:t>Total FIC revenue</w:t>
            </w:r>
          </w:p>
        </w:tc>
        <w:tc>
          <w:tcPr>
            <w:tcW w:w="993" w:type="dxa"/>
            <w:tcBorders>
              <w:top w:val="single" w:sz="4" w:space="0" w:color="auto"/>
              <w:left w:val="nil"/>
              <w:right w:val="nil"/>
            </w:tcBorders>
            <w:vAlign w:val="bottom"/>
          </w:tcPr>
          <w:p w:rsidR="00367AFF" w:rsidRPr="00FB6C11" w:rsidRDefault="00367AFF" w:rsidP="00367AFF">
            <w:pPr>
              <w:widowControl w:val="0"/>
              <w:autoSpaceDE w:val="0"/>
              <w:autoSpaceDN w:val="0"/>
              <w:adjustRightInd w:val="0"/>
              <w:spacing w:after="0" w:line="0" w:lineRule="atLeast"/>
              <w:ind w:right="64"/>
              <w:jc w:val="right"/>
              <w:rPr>
                <w:rFonts w:ascii="Arial" w:hAnsi="Arial" w:cs="Arial"/>
                <w:b/>
                <w:sz w:val="20"/>
                <w:szCs w:val="20"/>
              </w:rPr>
            </w:pPr>
            <w:r w:rsidRPr="00FB6C11">
              <w:rPr>
                <w:rFonts w:ascii="Arial" w:hAnsi="Arial" w:cs="Arial"/>
                <w:b/>
                <w:sz w:val="20"/>
                <w:szCs w:val="20"/>
              </w:rPr>
              <w:t>15.88</w:t>
            </w:r>
          </w:p>
        </w:tc>
        <w:tc>
          <w:tcPr>
            <w:tcW w:w="1275" w:type="dxa"/>
            <w:tcBorders>
              <w:top w:val="single" w:sz="4" w:space="0" w:color="auto"/>
              <w:left w:val="nil"/>
              <w:right w:val="nil"/>
            </w:tcBorders>
            <w:vAlign w:val="bottom"/>
          </w:tcPr>
          <w:p w:rsidR="00367AFF" w:rsidRPr="00FB6C11" w:rsidRDefault="00367AFF" w:rsidP="00367AFF">
            <w:pPr>
              <w:widowControl w:val="0"/>
              <w:autoSpaceDE w:val="0"/>
              <w:autoSpaceDN w:val="0"/>
              <w:adjustRightInd w:val="0"/>
              <w:spacing w:after="0" w:line="0" w:lineRule="atLeast"/>
              <w:ind w:right="64"/>
              <w:jc w:val="right"/>
              <w:rPr>
                <w:rFonts w:ascii="Arial" w:hAnsi="Arial" w:cs="Arial"/>
                <w:b/>
                <w:sz w:val="20"/>
                <w:szCs w:val="20"/>
              </w:rPr>
            </w:pPr>
            <w:r w:rsidRPr="00FB6C11">
              <w:rPr>
                <w:rFonts w:ascii="Arial" w:hAnsi="Arial" w:cs="Arial"/>
                <w:b/>
                <w:sz w:val="20"/>
                <w:szCs w:val="20"/>
              </w:rPr>
              <w:t>15.22</w:t>
            </w:r>
          </w:p>
        </w:tc>
        <w:tc>
          <w:tcPr>
            <w:tcW w:w="1134" w:type="dxa"/>
            <w:tcBorders>
              <w:top w:val="single" w:sz="4" w:space="0" w:color="auto"/>
              <w:left w:val="nil"/>
              <w:right w:val="nil"/>
            </w:tcBorders>
            <w:vAlign w:val="bottom"/>
          </w:tcPr>
          <w:p w:rsidR="00367AFF" w:rsidRPr="003E44EB" w:rsidRDefault="00367AFF" w:rsidP="00F90DE7">
            <w:pPr>
              <w:widowControl w:val="0"/>
              <w:autoSpaceDE w:val="0"/>
              <w:autoSpaceDN w:val="0"/>
              <w:adjustRightInd w:val="0"/>
              <w:spacing w:after="0" w:line="0" w:lineRule="atLeast"/>
              <w:ind w:right="24"/>
              <w:jc w:val="right"/>
              <w:rPr>
                <w:rFonts w:ascii="Arial" w:hAnsi="Arial" w:cs="Arial"/>
                <w:i/>
                <w:sz w:val="20"/>
                <w:szCs w:val="20"/>
              </w:rPr>
            </w:pPr>
            <w:r w:rsidRPr="003E44EB">
              <w:rPr>
                <w:rFonts w:ascii="Arial" w:hAnsi="Arial" w:cs="Arial"/>
                <w:i/>
                <w:sz w:val="20"/>
                <w:szCs w:val="20"/>
              </w:rPr>
              <w:t>4.3</w:t>
            </w:r>
          </w:p>
        </w:tc>
      </w:tr>
      <w:tr w:rsidR="00367AFF" w:rsidRPr="00E131E9" w:rsidTr="00367AFF">
        <w:trPr>
          <w:trHeight w:val="31"/>
        </w:trPr>
        <w:tc>
          <w:tcPr>
            <w:tcW w:w="5670"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134" w:type="dxa"/>
            <w:tcBorders>
              <w:top w:val="nil"/>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0" w:lineRule="atLeast"/>
              <w:rPr>
                <w:rFonts w:ascii="Arial" w:hAnsi="Arial" w:cs="Arial"/>
                <w:i/>
                <w:sz w:val="20"/>
                <w:szCs w:val="20"/>
              </w:rPr>
            </w:pPr>
          </w:p>
        </w:tc>
      </w:tr>
      <w:tr w:rsidR="00367AFF" w:rsidRPr="00E131E9" w:rsidTr="00367AFF">
        <w:trPr>
          <w:trHeight w:val="288"/>
        </w:trPr>
        <w:tc>
          <w:tcPr>
            <w:tcW w:w="5670"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left="40"/>
              <w:rPr>
                <w:rFonts w:ascii="Arial" w:hAnsi="Arial" w:cs="Arial"/>
                <w:sz w:val="20"/>
                <w:szCs w:val="20"/>
              </w:rPr>
            </w:pPr>
          </w:p>
        </w:tc>
        <w:tc>
          <w:tcPr>
            <w:tcW w:w="993"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134" w:type="dxa"/>
            <w:tcBorders>
              <w:top w:val="single" w:sz="4" w:space="0" w:color="auto"/>
              <w:left w:val="nil"/>
              <w:bottom w:val="nil"/>
              <w:right w:val="nil"/>
            </w:tcBorders>
            <w:vAlign w:val="bottom"/>
          </w:tcPr>
          <w:p w:rsidR="00367AFF" w:rsidRPr="003E44EB" w:rsidRDefault="00367AFF" w:rsidP="00367AFF">
            <w:pPr>
              <w:widowControl w:val="0"/>
              <w:autoSpaceDE w:val="0"/>
              <w:autoSpaceDN w:val="0"/>
              <w:adjustRightInd w:val="0"/>
              <w:spacing w:after="0" w:line="0" w:lineRule="atLeast"/>
              <w:rPr>
                <w:rFonts w:ascii="Arial" w:hAnsi="Arial" w:cs="Arial"/>
                <w:i/>
                <w:sz w:val="20"/>
                <w:szCs w:val="20"/>
              </w:rPr>
            </w:pPr>
          </w:p>
        </w:tc>
      </w:tr>
      <w:tr w:rsidR="00367AFF" w:rsidRPr="00E131E9" w:rsidTr="00367AFF">
        <w:trPr>
          <w:trHeight w:val="200"/>
        </w:trPr>
        <w:tc>
          <w:tcPr>
            <w:tcW w:w="5670" w:type="dxa"/>
            <w:tcBorders>
              <w:top w:val="nil"/>
              <w:left w:val="nil"/>
              <w:right w:val="nil"/>
            </w:tcBorders>
            <w:vAlign w:val="bottom"/>
          </w:tcPr>
          <w:p w:rsidR="00367AFF" w:rsidRPr="00FB6C11" w:rsidRDefault="00367AFF" w:rsidP="00367AFF">
            <w:pPr>
              <w:widowControl w:val="0"/>
              <w:autoSpaceDE w:val="0"/>
              <w:autoSpaceDN w:val="0"/>
              <w:adjustRightInd w:val="0"/>
              <w:spacing w:after="0" w:line="0" w:lineRule="atLeast"/>
              <w:ind w:left="40"/>
              <w:rPr>
                <w:rFonts w:ascii="Arial" w:hAnsi="Arial" w:cs="Arial"/>
                <w:b/>
                <w:sz w:val="20"/>
                <w:szCs w:val="20"/>
              </w:rPr>
            </w:pPr>
            <w:r w:rsidRPr="00FB6C11">
              <w:rPr>
                <w:rFonts w:ascii="Arial" w:hAnsi="Arial" w:cs="Arial"/>
                <w:b/>
                <w:sz w:val="20"/>
                <w:szCs w:val="20"/>
              </w:rPr>
              <w:t>FIC underlying operating profit</w:t>
            </w:r>
          </w:p>
        </w:tc>
        <w:tc>
          <w:tcPr>
            <w:tcW w:w="993" w:type="dxa"/>
            <w:tcBorders>
              <w:top w:val="nil"/>
              <w:left w:val="nil"/>
              <w:right w:val="nil"/>
            </w:tcBorders>
            <w:vAlign w:val="bottom"/>
          </w:tcPr>
          <w:p w:rsidR="00367AFF" w:rsidRPr="00FB6C11" w:rsidRDefault="00367AFF" w:rsidP="00367AFF">
            <w:pPr>
              <w:widowControl w:val="0"/>
              <w:autoSpaceDE w:val="0"/>
              <w:autoSpaceDN w:val="0"/>
              <w:adjustRightInd w:val="0"/>
              <w:spacing w:after="0" w:line="0" w:lineRule="atLeast"/>
              <w:ind w:right="64"/>
              <w:jc w:val="right"/>
              <w:rPr>
                <w:rFonts w:ascii="Arial" w:hAnsi="Arial" w:cs="Arial"/>
                <w:b/>
                <w:sz w:val="20"/>
                <w:szCs w:val="20"/>
              </w:rPr>
            </w:pPr>
            <w:r w:rsidRPr="00FB6C11">
              <w:rPr>
                <w:rFonts w:ascii="Arial" w:hAnsi="Arial" w:cs="Arial"/>
                <w:b/>
                <w:sz w:val="20"/>
                <w:szCs w:val="20"/>
              </w:rPr>
              <w:t>1.0</w:t>
            </w:r>
            <w:r>
              <w:rPr>
                <w:rFonts w:ascii="Arial" w:hAnsi="Arial" w:cs="Arial"/>
                <w:b/>
                <w:sz w:val="20"/>
                <w:szCs w:val="20"/>
              </w:rPr>
              <w:t>1</w:t>
            </w:r>
          </w:p>
        </w:tc>
        <w:tc>
          <w:tcPr>
            <w:tcW w:w="1275" w:type="dxa"/>
            <w:tcBorders>
              <w:top w:val="nil"/>
              <w:left w:val="nil"/>
              <w:right w:val="nil"/>
            </w:tcBorders>
            <w:vAlign w:val="bottom"/>
          </w:tcPr>
          <w:p w:rsidR="00367AFF" w:rsidRPr="00FB6C11" w:rsidRDefault="00367AFF" w:rsidP="00367AFF">
            <w:pPr>
              <w:widowControl w:val="0"/>
              <w:autoSpaceDE w:val="0"/>
              <w:autoSpaceDN w:val="0"/>
              <w:adjustRightInd w:val="0"/>
              <w:spacing w:after="0" w:line="0" w:lineRule="atLeast"/>
              <w:ind w:right="64"/>
              <w:jc w:val="right"/>
              <w:rPr>
                <w:rFonts w:ascii="Arial" w:hAnsi="Arial" w:cs="Arial"/>
                <w:b/>
                <w:sz w:val="20"/>
                <w:szCs w:val="20"/>
              </w:rPr>
            </w:pPr>
            <w:r w:rsidRPr="00FB6C11">
              <w:rPr>
                <w:rFonts w:ascii="Arial" w:hAnsi="Arial" w:cs="Arial"/>
                <w:b/>
                <w:sz w:val="20"/>
                <w:szCs w:val="20"/>
              </w:rPr>
              <w:t>1.33</w:t>
            </w:r>
          </w:p>
        </w:tc>
        <w:tc>
          <w:tcPr>
            <w:tcW w:w="1134" w:type="dxa"/>
            <w:tcBorders>
              <w:top w:val="nil"/>
              <w:left w:val="nil"/>
              <w:right w:val="nil"/>
            </w:tcBorders>
            <w:vAlign w:val="bottom"/>
          </w:tcPr>
          <w:p w:rsidR="00367AFF" w:rsidRPr="003E44EB" w:rsidRDefault="00367AFF" w:rsidP="00F90DE7">
            <w:pPr>
              <w:widowControl w:val="0"/>
              <w:autoSpaceDE w:val="0"/>
              <w:autoSpaceDN w:val="0"/>
              <w:adjustRightInd w:val="0"/>
              <w:spacing w:after="0" w:line="0" w:lineRule="atLeast"/>
              <w:jc w:val="right"/>
              <w:rPr>
                <w:rFonts w:ascii="Arial" w:hAnsi="Arial" w:cs="Arial"/>
                <w:i/>
                <w:sz w:val="20"/>
                <w:szCs w:val="20"/>
              </w:rPr>
            </w:pPr>
            <w:r w:rsidRPr="003E44EB">
              <w:rPr>
                <w:rFonts w:ascii="Arial" w:hAnsi="Arial" w:cs="Arial"/>
                <w:i/>
                <w:sz w:val="20"/>
                <w:szCs w:val="20"/>
              </w:rPr>
              <w:t>-23.5.</w:t>
            </w:r>
          </w:p>
        </w:tc>
      </w:tr>
      <w:tr w:rsidR="00367AFF" w:rsidRPr="00E131E9" w:rsidTr="00367AFF">
        <w:trPr>
          <w:trHeight w:val="31"/>
        </w:trPr>
        <w:tc>
          <w:tcPr>
            <w:tcW w:w="5670"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134" w:type="dxa"/>
            <w:tcBorders>
              <w:top w:val="nil"/>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0" w:lineRule="atLeast"/>
              <w:rPr>
                <w:rFonts w:ascii="Arial" w:hAnsi="Arial" w:cs="Arial"/>
                <w:i/>
                <w:sz w:val="20"/>
                <w:szCs w:val="20"/>
              </w:rPr>
            </w:pPr>
          </w:p>
        </w:tc>
      </w:tr>
      <w:tr w:rsidR="00367AFF" w:rsidRPr="00E131E9" w:rsidTr="00367AFF">
        <w:trPr>
          <w:trHeight w:val="288"/>
        </w:trPr>
        <w:tc>
          <w:tcPr>
            <w:tcW w:w="5670" w:type="dxa"/>
            <w:tcBorders>
              <w:top w:val="single" w:sz="4" w:space="0" w:color="auto"/>
              <w:left w:val="nil"/>
              <w:right w:val="nil"/>
            </w:tcBorders>
            <w:vAlign w:val="bottom"/>
          </w:tcPr>
          <w:p w:rsidR="00367AFF" w:rsidRPr="00E131E9" w:rsidRDefault="00367AFF" w:rsidP="00367AFF">
            <w:pPr>
              <w:widowControl w:val="0"/>
              <w:autoSpaceDE w:val="0"/>
              <w:autoSpaceDN w:val="0"/>
              <w:adjustRightInd w:val="0"/>
              <w:spacing w:after="0" w:line="0" w:lineRule="atLeast"/>
              <w:ind w:left="40"/>
              <w:rPr>
                <w:rFonts w:ascii="Arial" w:hAnsi="Arial" w:cs="Arial"/>
                <w:sz w:val="20"/>
                <w:szCs w:val="20"/>
              </w:rPr>
            </w:pPr>
          </w:p>
        </w:tc>
        <w:tc>
          <w:tcPr>
            <w:tcW w:w="993" w:type="dxa"/>
            <w:tcBorders>
              <w:top w:val="single" w:sz="4" w:space="0" w:color="auto"/>
              <w:left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single" w:sz="4" w:space="0" w:color="auto"/>
              <w:left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134" w:type="dxa"/>
            <w:tcBorders>
              <w:top w:val="single" w:sz="4" w:space="0" w:color="auto"/>
              <w:left w:val="nil"/>
              <w:right w:val="nil"/>
            </w:tcBorders>
            <w:vAlign w:val="bottom"/>
          </w:tcPr>
          <w:p w:rsidR="00367AFF" w:rsidRPr="003E44EB" w:rsidRDefault="00367AFF" w:rsidP="00367AFF">
            <w:pPr>
              <w:widowControl w:val="0"/>
              <w:autoSpaceDE w:val="0"/>
              <w:autoSpaceDN w:val="0"/>
              <w:adjustRightInd w:val="0"/>
              <w:spacing w:after="0" w:line="0" w:lineRule="atLeast"/>
              <w:rPr>
                <w:rFonts w:ascii="Arial" w:hAnsi="Arial" w:cs="Arial"/>
                <w:i/>
                <w:sz w:val="20"/>
                <w:szCs w:val="20"/>
              </w:rPr>
            </w:pPr>
          </w:p>
        </w:tc>
      </w:tr>
      <w:tr w:rsidR="00367AFF" w:rsidRPr="00E131E9" w:rsidTr="00367AFF">
        <w:trPr>
          <w:trHeight w:val="247"/>
        </w:trPr>
        <w:tc>
          <w:tcPr>
            <w:tcW w:w="5670"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ind w:left="40"/>
              <w:rPr>
                <w:rFonts w:ascii="Arial" w:hAnsi="Arial" w:cs="Arial"/>
                <w:sz w:val="20"/>
                <w:szCs w:val="20"/>
              </w:rPr>
            </w:pPr>
            <w:r w:rsidRPr="00E131E9">
              <w:rPr>
                <w:rFonts w:ascii="Arial" w:hAnsi="Arial" w:cs="Arial"/>
                <w:sz w:val="20"/>
                <w:szCs w:val="20"/>
              </w:rPr>
              <w:t xml:space="preserve">Underlying operating profit margin </w:t>
            </w: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Pr>
                <w:rFonts w:ascii="Arial" w:hAnsi="Arial" w:cs="Arial"/>
                <w:sz w:val="20"/>
                <w:szCs w:val="20"/>
              </w:rPr>
              <w:t>6.4%</w:t>
            </w:r>
          </w:p>
        </w:tc>
        <w:tc>
          <w:tcPr>
            <w:tcW w:w="1275"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ind w:right="64"/>
              <w:jc w:val="right"/>
              <w:rPr>
                <w:rFonts w:ascii="Arial" w:hAnsi="Arial" w:cs="Arial"/>
                <w:sz w:val="20"/>
                <w:szCs w:val="20"/>
              </w:rPr>
            </w:pPr>
            <w:r w:rsidRPr="00E131E9">
              <w:rPr>
                <w:rFonts w:ascii="Arial" w:hAnsi="Arial" w:cs="Arial"/>
                <w:sz w:val="20"/>
                <w:szCs w:val="20"/>
              </w:rPr>
              <w:t>8.7</w:t>
            </w:r>
            <w:r>
              <w:rPr>
                <w:rFonts w:ascii="Arial" w:hAnsi="Arial" w:cs="Arial"/>
                <w:sz w:val="20"/>
                <w:szCs w:val="20"/>
              </w:rPr>
              <w:t>%</w:t>
            </w:r>
          </w:p>
        </w:tc>
        <w:tc>
          <w:tcPr>
            <w:tcW w:w="1134" w:type="dxa"/>
            <w:tcBorders>
              <w:top w:val="nil"/>
              <w:left w:val="nil"/>
              <w:bottom w:val="single" w:sz="4" w:space="0" w:color="auto"/>
              <w:right w:val="nil"/>
            </w:tcBorders>
            <w:vAlign w:val="bottom"/>
          </w:tcPr>
          <w:p w:rsidR="00367AFF" w:rsidRPr="003E44EB" w:rsidRDefault="00367AFF" w:rsidP="00F90DE7">
            <w:pPr>
              <w:widowControl w:val="0"/>
              <w:autoSpaceDE w:val="0"/>
              <w:autoSpaceDN w:val="0"/>
              <w:adjustRightInd w:val="0"/>
              <w:spacing w:after="0" w:line="0" w:lineRule="atLeast"/>
              <w:jc w:val="right"/>
              <w:rPr>
                <w:rFonts w:ascii="Arial" w:hAnsi="Arial" w:cs="Arial"/>
                <w:i/>
                <w:sz w:val="20"/>
                <w:szCs w:val="20"/>
              </w:rPr>
            </w:pPr>
            <w:r w:rsidRPr="003E44EB">
              <w:rPr>
                <w:rFonts w:ascii="Arial" w:hAnsi="Arial" w:cs="Arial"/>
                <w:i/>
                <w:sz w:val="20"/>
                <w:szCs w:val="20"/>
              </w:rPr>
              <w:t>-26.7</w:t>
            </w:r>
          </w:p>
        </w:tc>
      </w:tr>
    </w:tbl>
    <w:p w:rsidR="00367AFF" w:rsidRPr="00B06AC4" w:rsidRDefault="00367AFF" w:rsidP="00367AFF">
      <w:pPr>
        <w:widowControl w:val="0"/>
        <w:autoSpaceDE w:val="0"/>
        <w:autoSpaceDN w:val="0"/>
        <w:adjustRightInd w:val="0"/>
        <w:spacing w:line="200" w:lineRule="exact"/>
        <w:ind w:right="-46"/>
        <w:rPr>
          <w:rFonts w:ascii="Arial" w:hAnsi="Arial" w:cs="Arial"/>
          <w:sz w:val="20"/>
          <w:szCs w:val="20"/>
        </w:rPr>
      </w:pPr>
    </w:p>
    <w:p w:rsidR="00367AFF" w:rsidRPr="00E131E9" w:rsidRDefault="00367AFF" w:rsidP="00367AFF">
      <w:pPr>
        <w:widowControl w:val="0"/>
        <w:overflowPunct w:val="0"/>
        <w:autoSpaceDE w:val="0"/>
        <w:autoSpaceDN w:val="0"/>
        <w:adjustRightInd w:val="0"/>
        <w:ind w:right="128"/>
        <w:jc w:val="both"/>
        <w:rPr>
          <w:rFonts w:ascii="Arial" w:hAnsi="Arial" w:cs="Arial"/>
          <w:sz w:val="20"/>
          <w:szCs w:val="20"/>
        </w:rPr>
      </w:pPr>
      <w:r w:rsidRPr="00E131E9">
        <w:rPr>
          <w:rFonts w:ascii="Arial" w:hAnsi="Arial" w:cs="Arial"/>
          <w:sz w:val="20"/>
          <w:szCs w:val="20"/>
        </w:rPr>
        <w:t xml:space="preserve">Total retail sales </w:t>
      </w:r>
      <w:r>
        <w:rPr>
          <w:rFonts w:ascii="Arial" w:hAnsi="Arial" w:cs="Arial"/>
          <w:sz w:val="20"/>
          <w:szCs w:val="20"/>
        </w:rPr>
        <w:t>fell by 4.8% to £9.26 million</w:t>
      </w:r>
      <w:r w:rsidR="008824D2">
        <w:rPr>
          <w:rFonts w:ascii="Arial" w:hAnsi="Arial" w:cs="Arial"/>
          <w:sz w:val="20"/>
          <w:szCs w:val="20"/>
        </w:rPr>
        <w:t xml:space="preserve"> (2013: £9.73 million)</w:t>
      </w:r>
      <w:r>
        <w:rPr>
          <w:rFonts w:ascii="Arial" w:hAnsi="Arial" w:cs="Arial"/>
          <w:sz w:val="20"/>
          <w:szCs w:val="20"/>
        </w:rPr>
        <w:t xml:space="preserve"> which was accounted for by reduced warehouse sales following the departure of the </w:t>
      </w:r>
      <w:proofErr w:type="spellStart"/>
      <w:r>
        <w:rPr>
          <w:rFonts w:ascii="Arial" w:hAnsi="Arial" w:cs="Arial"/>
          <w:sz w:val="20"/>
          <w:szCs w:val="20"/>
        </w:rPr>
        <w:t>Leiv</w:t>
      </w:r>
      <w:proofErr w:type="spellEnd"/>
      <w:r>
        <w:rPr>
          <w:rFonts w:ascii="Arial" w:hAnsi="Arial" w:cs="Arial"/>
          <w:sz w:val="20"/>
          <w:szCs w:val="20"/>
        </w:rPr>
        <w:t xml:space="preserve"> </w:t>
      </w:r>
      <w:proofErr w:type="spellStart"/>
      <w:r>
        <w:rPr>
          <w:rFonts w:ascii="Arial" w:hAnsi="Arial" w:cs="Arial"/>
          <w:sz w:val="20"/>
          <w:szCs w:val="20"/>
        </w:rPr>
        <w:t>Eiriksson</w:t>
      </w:r>
      <w:proofErr w:type="spellEnd"/>
      <w:r>
        <w:rPr>
          <w:rFonts w:ascii="Arial" w:hAnsi="Arial" w:cs="Arial"/>
          <w:sz w:val="20"/>
          <w:szCs w:val="20"/>
        </w:rPr>
        <w:t xml:space="preserve"> drilling rig late last year.  After a weaker first half</w:t>
      </w:r>
      <w:r w:rsidR="008824D2">
        <w:rPr>
          <w:rFonts w:ascii="Arial" w:hAnsi="Arial" w:cs="Arial"/>
          <w:sz w:val="20"/>
          <w:szCs w:val="20"/>
        </w:rPr>
        <w:t>,</w:t>
      </w:r>
      <w:r>
        <w:rPr>
          <w:rFonts w:ascii="Arial" w:hAnsi="Arial" w:cs="Arial"/>
          <w:sz w:val="20"/>
          <w:szCs w:val="20"/>
        </w:rPr>
        <w:t xml:space="preserve"> the </w:t>
      </w:r>
      <w:r w:rsidR="008824D2">
        <w:rPr>
          <w:rFonts w:ascii="Arial" w:hAnsi="Arial" w:cs="Arial"/>
          <w:sz w:val="20"/>
          <w:szCs w:val="20"/>
        </w:rPr>
        <w:t>C</w:t>
      </w:r>
      <w:r>
        <w:rPr>
          <w:rFonts w:ascii="Arial" w:hAnsi="Arial" w:cs="Arial"/>
          <w:sz w:val="20"/>
          <w:szCs w:val="20"/>
        </w:rPr>
        <w:t>ompany’s core West Store supermarket finished the year with sales only 1.1% lower helped by increased spending from cruise ship passengers, where visitor numbers rose by 34%</w:t>
      </w:r>
      <w:r w:rsidR="00206132">
        <w:rPr>
          <w:rFonts w:ascii="Arial" w:hAnsi="Arial" w:cs="Arial"/>
          <w:sz w:val="20"/>
          <w:szCs w:val="20"/>
        </w:rPr>
        <w:t>,</w:t>
      </w:r>
      <w:r>
        <w:rPr>
          <w:rFonts w:ascii="Arial" w:hAnsi="Arial" w:cs="Arial"/>
          <w:sz w:val="20"/>
          <w:szCs w:val="20"/>
        </w:rPr>
        <w:t xml:space="preserve"> and a strengthened BHS clothing offer. In other areas, sales at the waterfront Capstan gift shop were 6% ahead </w:t>
      </w:r>
      <w:r w:rsidR="008824D2">
        <w:rPr>
          <w:rFonts w:ascii="Arial" w:hAnsi="Arial" w:cs="Arial"/>
          <w:sz w:val="20"/>
          <w:szCs w:val="20"/>
        </w:rPr>
        <w:t xml:space="preserve">on the prior year, </w:t>
      </w:r>
      <w:r>
        <w:rPr>
          <w:rFonts w:ascii="Arial" w:hAnsi="Arial" w:cs="Arial"/>
          <w:sz w:val="20"/>
          <w:szCs w:val="20"/>
        </w:rPr>
        <w:t>and further progress was seen at the satellite “</w:t>
      </w:r>
      <w:r w:rsidRPr="00E131E9">
        <w:rPr>
          <w:rFonts w:ascii="Arial" w:hAnsi="Arial" w:cs="Arial"/>
          <w:sz w:val="20"/>
          <w:szCs w:val="20"/>
        </w:rPr>
        <w:t>West Store</w:t>
      </w:r>
      <w:r>
        <w:rPr>
          <w:rFonts w:ascii="Arial" w:hAnsi="Arial" w:cs="Arial"/>
          <w:sz w:val="20"/>
          <w:szCs w:val="20"/>
        </w:rPr>
        <w:t>”</w:t>
      </w:r>
      <w:r w:rsidRPr="00E131E9">
        <w:rPr>
          <w:rFonts w:ascii="Arial" w:hAnsi="Arial" w:cs="Arial"/>
          <w:sz w:val="20"/>
          <w:szCs w:val="20"/>
        </w:rPr>
        <w:t xml:space="preserve"> at the Mount Pleasant </w:t>
      </w:r>
      <w:r>
        <w:rPr>
          <w:rFonts w:ascii="Arial" w:hAnsi="Arial" w:cs="Arial"/>
          <w:sz w:val="20"/>
          <w:szCs w:val="20"/>
        </w:rPr>
        <w:t xml:space="preserve">military base. </w:t>
      </w:r>
      <w:proofErr w:type="gramStart"/>
      <w:r>
        <w:rPr>
          <w:rFonts w:ascii="Arial" w:hAnsi="Arial" w:cs="Arial"/>
          <w:sz w:val="20"/>
          <w:szCs w:val="20"/>
        </w:rPr>
        <w:t xml:space="preserve">Driven by a more aggressive pricing policy, sales in construction and </w:t>
      </w:r>
      <w:r w:rsidRPr="00E131E9">
        <w:rPr>
          <w:rFonts w:ascii="Arial" w:hAnsi="Arial" w:cs="Arial"/>
          <w:sz w:val="20"/>
          <w:szCs w:val="20"/>
        </w:rPr>
        <w:t>building material</w:t>
      </w:r>
      <w:r>
        <w:rPr>
          <w:rFonts w:ascii="Arial" w:hAnsi="Arial" w:cs="Arial"/>
          <w:sz w:val="20"/>
          <w:szCs w:val="20"/>
        </w:rPr>
        <w:t>s</w:t>
      </w:r>
      <w:r w:rsidRPr="00E131E9">
        <w:rPr>
          <w:rFonts w:ascii="Arial" w:hAnsi="Arial" w:cs="Arial"/>
          <w:sz w:val="20"/>
          <w:szCs w:val="20"/>
        </w:rPr>
        <w:t xml:space="preserve"> </w:t>
      </w:r>
      <w:r>
        <w:rPr>
          <w:rFonts w:ascii="Arial" w:hAnsi="Arial" w:cs="Arial"/>
          <w:sz w:val="20"/>
          <w:szCs w:val="20"/>
        </w:rPr>
        <w:t>increased by 18%, although the focus on growing market share did result in some margin erosion.</w:t>
      </w:r>
      <w:proofErr w:type="gramEnd"/>
      <w:r>
        <w:rPr>
          <w:rFonts w:ascii="Arial" w:hAnsi="Arial" w:cs="Arial"/>
          <w:sz w:val="20"/>
          <w:szCs w:val="20"/>
        </w:rPr>
        <w:t xml:space="preserve"> This together with increased freight costs and overheads saw contribution from retailing as a whole decline and was the major factor in the decrease in FIC’s contribution in the year. </w:t>
      </w:r>
    </w:p>
    <w:p w:rsidR="00367AFF" w:rsidRPr="00E131E9" w:rsidRDefault="00367AFF" w:rsidP="00367AFF">
      <w:pPr>
        <w:widowControl w:val="0"/>
        <w:overflowPunct w:val="0"/>
        <w:autoSpaceDE w:val="0"/>
        <w:autoSpaceDN w:val="0"/>
        <w:adjustRightInd w:val="0"/>
        <w:jc w:val="both"/>
        <w:rPr>
          <w:rFonts w:ascii="Arial" w:hAnsi="Arial" w:cs="Arial"/>
          <w:sz w:val="20"/>
          <w:szCs w:val="20"/>
        </w:rPr>
      </w:pPr>
      <w:proofErr w:type="gramStart"/>
      <w:r w:rsidRPr="00E131E9">
        <w:rPr>
          <w:rFonts w:ascii="Arial" w:hAnsi="Arial" w:cs="Arial"/>
          <w:sz w:val="20"/>
          <w:szCs w:val="20"/>
        </w:rPr>
        <w:t>Falklands 4x4</w:t>
      </w:r>
      <w:r>
        <w:rPr>
          <w:rFonts w:ascii="Arial" w:hAnsi="Arial" w:cs="Arial"/>
          <w:sz w:val="20"/>
          <w:szCs w:val="20"/>
        </w:rPr>
        <w:t>, ma</w:t>
      </w:r>
      <w:r w:rsidR="00401CAA">
        <w:rPr>
          <w:rFonts w:ascii="Arial" w:hAnsi="Arial" w:cs="Arial"/>
          <w:sz w:val="20"/>
          <w:szCs w:val="20"/>
        </w:rPr>
        <w:t>d</w:t>
      </w:r>
      <w:r>
        <w:rPr>
          <w:rFonts w:ascii="Arial" w:hAnsi="Arial" w:cs="Arial"/>
          <w:sz w:val="20"/>
          <w:szCs w:val="20"/>
        </w:rPr>
        <w:t xml:space="preserve">e good progress </w:t>
      </w:r>
      <w:r w:rsidRPr="00E131E9">
        <w:rPr>
          <w:rFonts w:ascii="Arial" w:hAnsi="Arial" w:cs="Arial"/>
          <w:sz w:val="20"/>
          <w:szCs w:val="20"/>
        </w:rPr>
        <w:t>benefit</w:t>
      </w:r>
      <w:r>
        <w:rPr>
          <w:rFonts w:ascii="Arial" w:hAnsi="Arial" w:cs="Arial"/>
          <w:sz w:val="20"/>
          <w:szCs w:val="20"/>
        </w:rPr>
        <w:t>ing from an increased use of HP financing to stimulate sales.</w:t>
      </w:r>
      <w:proofErr w:type="gramEnd"/>
      <w:r>
        <w:rPr>
          <w:rFonts w:ascii="Arial" w:hAnsi="Arial" w:cs="Arial"/>
          <w:sz w:val="20"/>
          <w:szCs w:val="20"/>
        </w:rPr>
        <w:t xml:space="preserve"> Total vehicle sales increased from 48 to 79 units (+65%) helped by sales to the Falklands Government. At £2.66 million total automotive revenues were at a record level despite the absence of military orders which remain subject to central procurement </w:t>
      </w:r>
      <w:r w:rsidRPr="00E131E9">
        <w:rPr>
          <w:rFonts w:ascii="Arial" w:hAnsi="Arial" w:cs="Arial"/>
          <w:sz w:val="20"/>
          <w:szCs w:val="20"/>
        </w:rPr>
        <w:t xml:space="preserve">from </w:t>
      </w:r>
      <w:r>
        <w:rPr>
          <w:rFonts w:ascii="Arial" w:hAnsi="Arial" w:cs="Arial"/>
          <w:sz w:val="20"/>
          <w:szCs w:val="20"/>
        </w:rPr>
        <w:t xml:space="preserve">UK. </w:t>
      </w:r>
    </w:p>
    <w:p w:rsidR="00367AFF" w:rsidRPr="00E131E9" w:rsidRDefault="00367AFF" w:rsidP="00367AFF">
      <w:pPr>
        <w:widowControl w:val="0"/>
        <w:overflowPunct w:val="0"/>
        <w:autoSpaceDE w:val="0"/>
        <w:autoSpaceDN w:val="0"/>
        <w:adjustRightInd w:val="0"/>
        <w:jc w:val="both"/>
        <w:rPr>
          <w:rFonts w:ascii="Arial" w:hAnsi="Arial" w:cs="Arial"/>
          <w:sz w:val="20"/>
          <w:szCs w:val="20"/>
        </w:rPr>
      </w:pPr>
      <w:r w:rsidRPr="00E131E9">
        <w:rPr>
          <w:rFonts w:ascii="Arial" w:hAnsi="Arial" w:cs="Arial"/>
          <w:sz w:val="20"/>
          <w:szCs w:val="20"/>
        </w:rPr>
        <w:t xml:space="preserve">Revenues from third party freight and port services fell by </w:t>
      </w:r>
      <w:r>
        <w:rPr>
          <w:rFonts w:ascii="Arial" w:hAnsi="Arial" w:cs="Arial"/>
          <w:sz w:val="20"/>
          <w:szCs w:val="20"/>
        </w:rPr>
        <w:t>23.5</w:t>
      </w:r>
      <w:r w:rsidRPr="00E131E9">
        <w:rPr>
          <w:rFonts w:ascii="Arial" w:hAnsi="Arial" w:cs="Arial"/>
          <w:sz w:val="20"/>
          <w:szCs w:val="20"/>
        </w:rPr>
        <w:t>%</w:t>
      </w:r>
      <w:r>
        <w:rPr>
          <w:rFonts w:ascii="Arial" w:hAnsi="Arial" w:cs="Arial"/>
          <w:sz w:val="20"/>
          <w:szCs w:val="20"/>
        </w:rPr>
        <w:t xml:space="preserve"> to £1.26 million (</w:t>
      </w:r>
      <w:r w:rsidRPr="00A33751">
        <w:rPr>
          <w:rFonts w:ascii="Arial" w:hAnsi="Arial" w:cs="Arial"/>
          <w:i/>
          <w:sz w:val="20"/>
          <w:szCs w:val="20"/>
        </w:rPr>
        <w:t>2013: £1.65</w:t>
      </w:r>
      <w:r>
        <w:rPr>
          <w:rFonts w:ascii="Arial" w:hAnsi="Arial" w:cs="Arial"/>
          <w:i/>
          <w:sz w:val="20"/>
          <w:szCs w:val="20"/>
        </w:rPr>
        <w:t xml:space="preserve"> </w:t>
      </w:r>
      <w:r w:rsidRPr="00A33751">
        <w:rPr>
          <w:rFonts w:ascii="Arial" w:hAnsi="Arial" w:cs="Arial"/>
          <w:i/>
          <w:sz w:val="20"/>
          <w:szCs w:val="20"/>
        </w:rPr>
        <w:t>million</w:t>
      </w:r>
      <w:r>
        <w:rPr>
          <w:rFonts w:ascii="Arial" w:hAnsi="Arial" w:cs="Arial"/>
          <w:sz w:val="20"/>
          <w:szCs w:val="20"/>
        </w:rPr>
        <w:t>)</w:t>
      </w:r>
      <w:r w:rsidRPr="00E131E9">
        <w:rPr>
          <w:rFonts w:ascii="Arial" w:hAnsi="Arial" w:cs="Arial"/>
          <w:sz w:val="20"/>
          <w:szCs w:val="20"/>
        </w:rPr>
        <w:t xml:space="preserve"> without the benefit of </w:t>
      </w:r>
      <w:r>
        <w:rPr>
          <w:rFonts w:ascii="Arial" w:hAnsi="Arial" w:cs="Arial"/>
          <w:sz w:val="20"/>
          <w:szCs w:val="20"/>
        </w:rPr>
        <w:t xml:space="preserve">oil related cargoes, </w:t>
      </w:r>
      <w:r w:rsidRPr="00E131E9">
        <w:rPr>
          <w:rFonts w:ascii="Arial" w:hAnsi="Arial" w:cs="Arial"/>
          <w:sz w:val="20"/>
          <w:szCs w:val="20"/>
        </w:rPr>
        <w:t xml:space="preserve">which </w:t>
      </w:r>
      <w:r>
        <w:rPr>
          <w:rFonts w:ascii="Arial" w:hAnsi="Arial" w:cs="Arial"/>
          <w:sz w:val="20"/>
          <w:szCs w:val="20"/>
        </w:rPr>
        <w:t>increased</w:t>
      </w:r>
      <w:r w:rsidRPr="00E131E9">
        <w:rPr>
          <w:rFonts w:ascii="Arial" w:hAnsi="Arial" w:cs="Arial"/>
          <w:sz w:val="20"/>
          <w:szCs w:val="20"/>
        </w:rPr>
        <w:t xml:space="preserve"> revenues last year.</w:t>
      </w:r>
    </w:p>
    <w:p w:rsidR="00367AFF" w:rsidRPr="00E131E9" w:rsidRDefault="00367AFF" w:rsidP="00367A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On a positive note </w:t>
      </w:r>
      <w:r w:rsidRPr="00E131E9">
        <w:rPr>
          <w:rFonts w:ascii="Arial" w:hAnsi="Arial" w:cs="Arial"/>
          <w:sz w:val="20"/>
          <w:szCs w:val="20"/>
        </w:rPr>
        <w:t xml:space="preserve">Support </w:t>
      </w:r>
      <w:r>
        <w:rPr>
          <w:rFonts w:ascii="Arial" w:hAnsi="Arial" w:cs="Arial"/>
          <w:sz w:val="20"/>
          <w:szCs w:val="20"/>
        </w:rPr>
        <w:t>S</w:t>
      </w:r>
      <w:r w:rsidRPr="00E131E9">
        <w:rPr>
          <w:rFonts w:ascii="Arial" w:hAnsi="Arial" w:cs="Arial"/>
          <w:sz w:val="20"/>
          <w:szCs w:val="20"/>
        </w:rPr>
        <w:t xml:space="preserve">ervices revenues </w:t>
      </w:r>
      <w:r>
        <w:rPr>
          <w:rFonts w:ascii="Arial" w:hAnsi="Arial" w:cs="Arial"/>
          <w:sz w:val="20"/>
          <w:szCs w:val="20"/>
        </w:rPr>
        <w:t>recovered to increase by 6.7</w:t>
      </w:r>
      <w:r w:rsidRPr="00E131E9">
        <w:rPr>
          <w:rFonts w:ascii="Arial" w:hAnsi="Arial" w:cs="Arial"/>
          <w:sz w:val="20"/>
          <w:szCs w:val="20"/>
        </w:rPr>
        <w:t xml:space="preserve">% </w:t>
      </w:r>
      <w:r>
        <w:rPr>
          <w:rFonts w:ascii="Arial" w:hAnsi="Arial" w:cs="Arial"/>
          <w:sz w:val="20"/>
          <w:szCs w:val="20"/>
        </w:rPr>
        <w:t xml:space="preserve">helped by a strong </w:t>
      </w:r>
      <w:proofErr w:type="spellStart"/>
      <w:r>
        <w:rPr>
          <w:rFonts w:ascii="Arial" w:hAnsi="Arial" w:cs="Arial"/>
          <w:sz w:val="20"/>
          <w:szCs w:val="20"/>
        </w:rPr>
        <w:t>illex</w:t>
      </w:r>
      <w:proofErr w:type="spellEnd"/>
      <w:r>
        <w:rPr>
          <w:rFonts w:ascii="Arial" w:hAnsi="Arial" w:cs="Arial"/>
          <w:sz w:val="20"/>
          <w:szCs w:val="20"/>
        </w:rPr>
        <w:t xml:space="preserve"> squid catch which boosted revenues at </w:t>
      </w:r>
      <w:r w:rsidRPr="00E131E9">
        <w:rPr>
          <w:rFonts w:ascii="Arial" w:hAnsi="Arial" w:cs="Arial"/>
          <w:sz w:val="20"/>
          <w:szCs w:val="20"/>
        </w:rPr>
        <w:t>FIC’s Fishing Agency</w:t>
      </w:r>
      <w:r>
        <w:rPr>
          <w:rFonts w:ascii="Arial" w:hAnsi="Arial" w:cs="Arial"/>
          <w:sz w:val="20"/>
          <w:szCs w:val="20"/>
        </w:rPr>
        <w:t xml:space="preserve">, an improved performance from Penguin Travel as cruise ship numbers increased and further progress at FIC’s insurance agency. </w:t>
      </w:r>
      <w:r w:rsidRPr="00E131E9">
        <w:rPr>
          <w:rFonts w:ascii="Arial" w:hAnsi="Arial" w:cs="Arial"/>
          <w:sz w:val="20"/>
          <w:szCs w:val="20"/>
        </w:rPr>
        <w:t xml:space="preserve"> </w:t>
      </w:r>
    </w:p>
    <w:p w:rsidR="00367AFF" w:rsidRDefault="00367AFF" w:rsidP="00367A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FBS </w:t>
      </w:r>
      <w:r w:rsidR="00401CAA">
        <w:rPr>
          <w:rFonts w:ascii="Arial" w:hAnsi="Arial" w:cs="Arial"/>
          <w:sz w:val="20"/>
          <w:szCs w:val="20"/>
        </w:rPr>
        <w:t>has been able to</w:t>
      </w:r>
      <w:r>
        <w:rPr>
          <w:rFonts w:ascii="Arial" w:hAnsi="Arial" w:cs="Arial"/>
          <w:sz w:val="20"/>
          <w:szCs w:val="20"/>
        </w:rPr>
        <w:t xml:space="preserve"> establish a unique client offer that finances work in progress for first time buyers during the 3-4 month construction period. In this way FBS has delivered 8 new houses for</w:t>
      </w:r>
      <w:r w:rsidR="00401CAA">
        <w:rPr>
          <w:rFonts w:ascii="Arial" w:hAnsi="Arial" w:cs="Arial"/>
          <w:sz w:val="20"/>
          <w:szCs w:val="20"/>
        </w:rPr>
        <w:t xml:space="preserve"> </w:t>
      </w:r>
      <w:r>
        <w:rPr>
          <w:rFonts w:ascii="Arial" w:hAnsi="Arial" w:cs="Arial"/>
          <w:sz w:val="20"/>
          <w:szCs w:val="20"/>
        </w:rPr>
        <w:t xml:space="preserve">local buyers and at 31 March 2014 had a record order book for 20 further houses. In addition to </w:t>
      </w:r>
      <w:r w:rsidR="00401CAA">
        <w:rPr>
          <w:rFonts w:ascii="Arial" w:hAnsi="Arial" w:cs="Arial"/>
          <w:sz w:val="20"/>
          <w:szCs w:val="20"/>
        </w:rPr>
        <w:t>house building</w:t>
      </w:r>
      <w:r>
        <w:rPr>
          <w:rFonts w:ascii="Arial" w:hAnsi="Arial" w:cs="Arial"/>
          <w:sz w:val="20"/>
          <w:szCs w:val="20"/>
        </w:rPr>
        <w:t xml:space="preserve">, FBS also undertook small general construction contracts for the Falkland Islands Government as well as progressing internal construction projects within FIC (which </w:t>
      </w:r>
      <w:r w:rsidR="00401CAA">
        <w:rPr>
          <w:rFonts w:ascii="Arial" w:hAnsi="Arial" w:cs="Arial"/>
          <w:sz w:val="20"/>
          <w:szCs w:val="20"/>
        </w:rPr>
        <w:t>are not included</w:t>
      </w:r>
      <w:r>
        <w:rPr>
          <w:rFonts w:ascii="Arial" w:hAnsi="Arial" w:cs="Arial"/>
          <w:sz w:val="20"/>
          <w:szCs w:val="20"/>
        </w:rPr>
        <w:t xml:space="preserve"> in revenue). At the end of the year FBS had 54 employees compared to 22 in March 2013. Despite a £0.1 million decline in rental income, overall revenues from property and construction increased by 85.6% to £1.4 million.</w:t>
      </w:r>
    </w:p>
    <w:p w:rsidR="00367AFF" w:rsidRDefault="00367AFF" w:rsidP="00367A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To prepare FIC for the expected future growth in the economy, c</w:t>
      </w:r>
      <w:r w:rsidRPr="00E131E9">
        <w:rPr>
          <w:rFonts w:ascii="Arial" w:hAnsi="Arial" w:cs="Arial"/>
          <w:sz w:val="20"/>
          <w:szCs w:val="20"/>
        </w:rPr>
        <w:t>apital expenditure of £</w:t>
      </w:r>
      <w:r>
        <w:rPr>
          <w:rFonts w:ascii="Arial" w:hAnsi="Arial" w:cs="Arial"/>
          <w:sz w:val="20"/>
          <w:szCs w:val="20"/>
        </w:rPr>
        <w:t xml:space="preserve">2.7 </w:t>
      </w:r>
      <w:r w:rsidRPr="00E131E9">
        <w:rPr>
          <w:rFonts w:ascii="Arial" w:hAnsi="Arial" w:cs="Arial"/>
          <w:sz w:val="20"/>
          <w:szCs w:val="20"/>
        </w:rPr>
        <w:t>million was</w:t>
      </w:r>
      <w:r>
        <w:rPr>
          <w:rFonts w:ascii="Arial" w:hAnsi="Arial" w:cs="Arial"/>
          <w:sz w:val="20"/>
          <w:szCs w:val="20"/>
        </w:rPr>
        <w:t xml:space="preserve"> incurred, including £0.7 million spent on investment properties, and FBS:</w:t>
      </w:r>
      <w:r w:rsidRPr="00E131E9">
        <w:rPr>
          <w:rFonts w:ascii="Arial" w:hAnsi="Arial" w:cs="Arial"/>
          <w:sz w:val="20"/>
          <w:szCs w:val="20"/>
        </w:rPr>
        <w:t xml:space="preserve"> </w:t>
      </w:r>
    </w:p>
    <w:p w:rsidR="00367AFF" w:rsidRDefault="00367AFF" w:rsidP="00367AFF">
      <w:pPr>
        <w:pStyle w:val="ListParagraph"/>
        <w:widowControl w:val="0"/>
        <w:numPr>
          <w:ilvl w:val="0"/>
          <w:numId w:val="27"/>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Completed the construction of </w:t>
      </w:r>
      <w:r w:rsidR="008824D2">
        <w:rPr>
          <w:rFonts w:ascii="Arial" w:hAnsi="Arial" w:cs="Arial"/>
          <w:sz w:val="20"/>
          <w:szCs w:val="20"/>
        </w:rPr>
        <w:t>four</w:t>
      </w:r>
      <w:r>
        <w:rPr>
          <w:rFonts w:ascii="Arial" w:hAnsi="Arial" w:cs="Arial"/>
          <w:sz w:val="20"/>
          <w:szCs w:val="20"/>
        </w:rPr>
        <w:t xml:space="preserve"> new houses in Hebe Street central Stanley which are all now occupied.</w:t>
      </w:r>
    </w:p>
    <w:p w:rsidR="00367AFF" w:rsidRPr="00367AFF" w:rsidRDefault="00367AFF" w:rsidP="00367AFF">
      <w:pPr>
        <w:pStyle w:val="ListParagraph"/>
        <w:widowControl w:val="0"/>
        <w:overflowPunct w:val="0"/>
        <w:autoSpaceDE w:val="0"/>
        <w:autoSpaceDN w:val="0"/>
        <w:adjustRightInd w:val="0"/>
        <w:spacing w:after="0" w:line="240" w:lineRule="auto"/>
        <w:jc w:val="both"/>
        <w:rPr>
          <w:rFonts w:ascii="Arial" w:hAnsi="Arial" w:cs="Arial"/>
          <w:sz w:val="20"/>
          <w:szCs w:val="20"/>
        </w:rPr>
      </w:pPr>
    </w:p>
    <w:p w:rsidR="00367AFF" w:rsidRDefault="00367AFF" w:rsidP="00367AFF">
      <w:pPr>
        <w:widowControl w:val="0"/>
        <w:numPr>
          <w:ilvl w:val="0"/>
          <w:numId w:val="27"/>
        </w:numPr>
        <w:overflowPunct w:val="0"/>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Progressed</w:t>
      </w:r>
      <w:proofErr w:type="gramEnd"/>
      <w:r>
        <w:rPr>
          <w:rFonts w:ascii="Arial" w:hAnsi="Arial" w:cs="Arial"/>
          <w:sz w:val="20"/>
          <w:szCs w:val="20"/>
        </w:rPr>
        <w:t xml:space="preserve"> the e</w:t>
      </w:r>
      <w:r w:rsidRPr="00E131E9">
        <w:rPr>
          <w:rFonts w:ascii="Arial" w:hAnsi="Arial" w:cs="Arial"/>
          <w:sz w:val="20"/>
          <w:szCs w:val="20"/>
        </w:rPr>
        <w:t xml:space="preserve">xpansion and </w:t>
      </w:r>
      <w:r w:rsidRPr="00425631">
        <w:rPr>
          <w:rFonts w:ascii="Arial" w:hAnsi="Arial" w:cs="Arial"/>
          <w:sz w:val="20"/>
          <w:szCs w:val="20"/>
        </w:rPr>
        <w:t>modernisation</w:t>
      </w:r>
      <w:r w:rsidRPr="00E131E9">
        <w:rPr>
          <w:rFonts w:ascii="Arial" w:hAnsi="Arial" w:cs="Arial"/>
          <w:sz w:val="20"/>
          <w:szCs w:val="20"/>
        </w:rPr>
        <w:t xml:space="preserve"> of office facilities at FIC’s office at Crozier Place including </w:t>
      </w:r>
      <w:r>
        <w:rPr>
          <w:rFonts w:ascii="Arial" w:hAnsi="Arial" w:cs="Arial"/>
          <w:sz w:val="20"/>
          <w:szCs w:val="20"/>
        </w:rPr>
        <w:t>space</w:t>
      </w:r>
      <w:r w:rsidRPr="00E131E9">
        <w:rPr>
          <w:rFonts w:ascii="Arial" w:hAnsi="Arial" w:cs="Arial"/>
          <w:sz w:val="20"/>
          <w:szCs w:val="20"/>
        </w:rPr>
        <w:t xml:space="preserve"> for external tenants which will be available in </w:t>
      </w:r>
      <w:r>
        <w:rPr>
          <w:rFonts w:ascii="Arial" w:hAnsi="Arial" w:cs="Arial"/>
          <w:sz w:val="20"/>
          <w:szCs w:val="20"/>
        </w:rPr>
        <w:t xml:space="preserve">late </w:t>
      </w:r>
      <w:r w:rsidRPr="00E131E9">
        <w:rPr>
          <w:rFonts w:ascii="Arial" w:hAnsi="Arial" w:cs="Arial"/>
          <w:sz w:val="20"/>
          <w:szCs w:val="20"/>
        </w:rPr>
        <w:t>2014.</w:t>
      </w:r>
    </w:p>
    <w:p w:rsidR="00367AFF" w:rsidRPr="00367AFF" w:rsidRDefault="00367AFF" w:rsidP="00367AFF">
      <w:pPr>
        <w:widowControl w:val="0"/>
        <w:overflowPunct w:val="0"/>
        <w:autoSpaceDE w:val="0"/>
        <w:autoSpaceDN w:val="0"/>
        <w:adjustRightInd w:val="0"/>
        <w:spacing w:after="0" w:line="240" w:lineRule="auto"/>
        <w:jc w:val="both"/>
        <w:rPr>
          <w:rFonts w:ascii="Arial" w:hAnsi="Arial" w:cs="Arial"/>
          <w:sz w:val="20"/>
          <w:szCs w:val="20"/>
        </w:rPr>
      </w:pPr>
    </w:p>
    <w:p w:rsidR="00367AFF" w:rsidRDefault="00367AFF" w:rsidP="00367AFF">
      <w:pPr>
        <w:widowControl w:val="0"/>
        <w:numPr>
          <w:ilvl w:val="0"/>
          <w:numId w:val="27"/>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Commenced the expansion of DIY/Building Materials retail outlet Homebuilder to the rear of Crozier Place for completion in </w:t>
      </w:r>
      <w:proofErr w:type="gramStart"/>
      <w:r>
        <w:rPr>
          <w:rFonts w:ascii="Arial" w:hAnsi="Arial" w:cs="Arial"/>
          <w:sz w:val="20"/>
          <w:szCs w:val="20"/>
        </w:rPr>
        <w:t>Autumn</w:t>
      </w:r>
      <w:proofErr w:type="gramEnd"/>
      <w:r>
        <w:rPr>
          <w:rFonts w:ascii="Arial" w:hAnsi="Arial" w:cs="Arial"/>
          <w:sz w:val="20"/>
          <w:szCs w:val="20"/>
        </w:rPr>
        <w:t xml:space="preserve"> 2014.</w:t>
      </w:r>
    </w:p>
    <w:p w:rsidR="00367AFF" w:rsidRPr="00367AFF" w:rsidRDefault="00367AFF" w:rsidP="00367AFF">
      <w:pPr>
        <w:widowControl w:val="0"/>
        <w:overflowPunct w:val="0"/>
        <w:autoSpaceDE w:val="0"/>
        <w:autoSpaceDN w:val="0"/>
        <w:adjustRightInd w:val="0"/>
        <w:spacing w:after="0" w:line="240" w:lineRule="auto"/>
        <w:jc w:val="both"/>
        <w:rPr>
          <w:rFonts w:ascii="Arial" w:hAnsi="Arial" w:cs="Arial"/>
          <w:sz w:val="20"/>
          <w:szCs w:val="20"/>
        </w:rPr>
      </w:pPr>
    </w:p>
    <w:p w:rsidR="00367AFF" w:rsidRDefault="00367AFF" w:rsidP="00367AFF">
      <w:pPr>
        <w:widowControl w:val="0"/>
        <w:numPr>
          <w:ilvl w:val="0"/>
          <w:numId w:val="27"/>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Commenced the construction of new warehouse/freezer facilities at Airport Road East Stanley which will replace FIC’s aging facilities and make available a prime 2 acre site on the waterfront in central Stanley. </w:t>
      </w:r>
    </w:p>
    <w:p w:rsidR="00367AFF" w:rsidRDefault="00367AFF" w:rsidP="00367AFF">
      <w:pPr>
        <w:widowControl w:val="0"/>
        <w:overflowPunct w:val="0"/>
        <w:autoSpaceDE w:val="0"/>
        <w:autoSpaceDN w:val="0"/>
        <w:adjustRightInd w:val="0"/>
        <w:ind w:left="360"/>
        <w:jc w:val="both"/>
        <w:rPr>
          <w:rFonts w:ascii="Arial" w:hAnsi="Arial" w:cs="Arial"/>
          <w:sz w:val="20"/>
          <w:szCs w:val="20"/>
        </w:rPr>
      </w:pPr>
    </w:p>
    <w:p w:rsidR="00367AFF" w:rsidRDefault="00367AFF" w:rsidP="00367AFF">
      <w:pPr>
        <w:widowControl w:val="0"/>
        <w:overflowPunct w:val="0"/>
        <w:autoSpaceDE w:val="0"/>
        <w:autoSpaceDN w:val="0"/>
        <w:adjustRightInd w:val="0"/>
        <w:jc w:val="both"/>
        <w:rPr>
          <w:rFonts w:ascii="Arial" w:hAnsi="Arial" w:cs="Arial"/>
          <w:sz w:val="20"/>
          <w:szCs w:val="20"/>
        </w:rPr>
      </w:pPr>
      <w:r w:rsidRPr="00E131E9">
        <w:rPr>
          <w:rFonts w:ascii="Arial" w:hAnsi="Arial" w:cs="Arial"/>
          <w:sz w:val="20"/>
          <w:szCs w:val="20"/>
        </w:rPr>
        <w:t xml:space="preserve">FIC‘s property rental portfolio </w:t>
      </w:r>
      <w:r>
        <w:rPr>
          <w:rFonts w:ascii="Arial" w:hAnsi="Arial" w:cs="Arial"/>
          <w:sz w:val="20"/>
          <w:szCs w:val="20"/>
        </w:rPr>
        <w:t xml:space="preserve">now </w:t>
      </w:r>
      <w:r w:rsidRPr="00E131E9">
        <w:rPr>
          <w:rFonts w:ascii="Arial" w:hAnsi="Arial" w:cs="Arial"/>
          <w:sz w:val="20"/>
          <w:szCs w:val="20"/>
        </w:rPr>
        <w:t xml:space="preserve">comprises </w:t>
      </w:r>
      <w:r>
        <w:rPr>
          <w:rFonts w:ascii="Arial" w:hAnsi="Arial" w:cs="Arial"/>
          <w:sz w:val="20"/>
          <w:szCs w:val="20"/>
        </w:rPr>
        <w:t xml:space="preserve">36 properties in central Stanley </w:t>
      </w:r>
      <w:r w:rsidRPr="00E131E9">
        <w:rPr>
          <w:rFonts w:ascii="Arial" w:hAnsi="Arial" w:cs="Arial"/>
          <w:sz w:val="20"/>
          <w:szCs w:val="20"/>
        </w:rPr>
        <w:t xml:space="preserve">which are </w:t>
      </w:r>
      <w:r>
        <w:rPr>
          <w:rFonts w:ascii="Arial" w:hAnsi="Arial" w:cs="Arial"/>
          <w:sz w:val="20"/>
          <w:szCs w:val="20"/>
        </w:rPr>
        <w:t xml:space="preserve">available </w:t>
      </w:r>
      <w:r w:rsidR="00797C10">
        <w:rPr>
          <w:rFonts w:ascii="Arial" w:hAnsi="Arial" w:cs="Arial"/>
          <w:sz w:val="20"/>
          <w:szCs w:val="20"/>
        </w:rPr>
        <w:t>for</w:t>
      </w:r>
      <w:r>
        <w:rPr>
          <w:rFonts w:ascii="Arial" w:hAnsi="Arial" w:cs="Arial"/>
          <w:sz w:val="20"/>
          <w:szCs w:val="20"/>
        </w:rPr>
        <w:t xml:space="preserve"> </w:t>
      </w:r>
      <w:r w:rsidRPr="00E131E9">
        <w:rPr>
          <w:rFonts w:ascii="Arial" w:hAnsi="Arial" w:cs="Arial"/>
          <w:sz w:val="20"/>
          <w:szCs w:val="20"/>
        </w:rPr>
        <w:t>let</w:t>
      </w:r>
      <w:r w:rsidR="00797C10">
        <w:rPr>
          <w:rFonts w:ascii="Arial" w:hAnsi="Arial" w:cs="Arial"/>
          <w:sz w:val="20"/>
          <w:szCs w:val="20"/>
        </w:rPr>
        <w:t>ting</w:t>
      </w:r>
      <w:r w:rsidRPr="00E131E9">
        <w:rPr>
          <w:rFonts w:ascii="Arial" w:hAnsi="Arial" w:cs="Arial"/>
          <w:sz w:val="20"/>
          <w:szCs w:val="20"/>
        </w:rPr>
        <w:t xml:space="preserve">. </w:t>
      </w:r>
      <w:r w:rsidR="00812B39">
        <w:rPr>
          <w:rFonts w:ascii="Arial" w:hAnsi="Arial" w:cs="Arial"/>
          <w:sz w:val="20"/>
          <w:szCs w:val="20"/>
        </w:rPr>
        <w:t>In the</w:t>
      </w:r>
      <w:r w:rsidRPr="00E131E9">
        <w:rPr>
          <w:rFonts w:ascii="Arial" w:hAnsi="Arial" w:cs="Arial"/>
          <w:sz w:val="20"/>
          <w:szCs w:val="20"/>
        </w:rPr>
        <w:t xml:space="preserve"> </w:t>
      </w:r>
      <w:r>
        <w:rPr>
          <w:rFonts w:ascii="Arial" w:hAnsi="Arial" w:cs="Arial"/>
          <w:sz w:val="20"/>
          <w:szCs w:val="20"/>
        </w:rPr>
        <w:t xml:space="preserve">absence of any drilling activity, rental income declined </w:t>
      </w:r>
      <w:r w:rsidRPr="00E131E9">
        <w:rPr>
          <w:rFonts w:ascii="Arial" w:hAnsi="Arial" w:cs="Arial"/>
          <w:sz w:val="20"/>
          <w:szCs w:val="20"/>
        </w:rPr>
        <w:t xml:space="preserve">by </w:t>
      </w:r>
      <w:r>
        <w:rPr>
          <w:rFonts w:ascii="Arial" w:hAnsi="Arial" w:cs="Arial"/>
          <w:sz w:val="20"/>
          <w:szCs w:val="20"/>
        </w:rPr>
        <w:t>25</w:t>
      </w:r>
      <w:r w:rsidRPr="00E131E9">
        <w:rPr>
          <w:rFonts w:ascii="Arial" w:hAnsi="Arial" w:cs="Arial"/>
          <w:sz w:val="20"/>
          <w:szCs w:val="20"/>
        </w:rPr>
        <w:t>% to £0.</w:t>
      </w:r>
      <w:r>
        <w:rPr>
          <w:rFonts w:ascii="Arial" w:hAnsi="Arial" w:cs="Arial"/>
          <w:sz w:val="20"/>
          <w:szCs w:val="20"/>
        </w:rPr>
        <w:t xml:space="preserve">2 </w:t>
      </w:r>
      <w:r w:rsidRPr="00E131E9">
        <w:rPr>
          <w:rFonts w:ascii="Arial" w:hAnsi="Arial" w:cs="Arial"/>
          <w:sz w:val="20"/>
          <w:szCs w:val="20"/>
        </w:rPr>
        <w:t>million in the year to 31 March 201</w:t>
      </w:r>
      <w:r>
        <w:rPr>
          <w:rFonts w:ascii="Arial" w:hAnsi="Arial" w:cs="Arial"/>
          <w:sz w:val="20"/>
          <w:szCs w:val="20"/>
        </w:rPr>
        <w:t>4,</w:t>
      </w:r>
      <w:r w:rsidR="004A4E98">
        <w:rPr>
          <w:rFonts w:ascii="Arial" w:hAnsi="Arial" w:cs="Arial"/>
          <w:sz w:val="20"/>
          <w:szCs w:val="20"/>
        </w:rPr>
        <w:t xml:space="preserve"> </w:t>
      </w:r>
      <w:r>
        <w:rPr>
          <w:rFonts w:ascii="Arial" w:hAnsi="Arial" w:cs="Arial"/>
          <w:sz w:val="20"/>
          <w:szCs w:val="20"/>
        </w:rPr>
        <w:t>rental yields reduced and overall occupancy av</w:t>
      </w:r>
      <w:r w:rsidR="003C69E2">
        <w:rPr>
          <w:rFonts w:ascii="Arial" w:hAnsi="Arial" w:cs="Arial"/>
          <w:sz w:val="20"/>
          <w:szCs w:val="20"/>
        </w:rPr>
        <w:t>eraged 82% during the year</w:t>
      </w:r>
      <w:r>
        <w:rPr>
          <w:rFonts w:ascii="Arial" w:hAnsi="Arial" w:cs="Arial"/>
          <w:sz w:val="20"/>
          <w:szCs w:val="20"/>
        </w:rPr>
        <w:t>.</w:t>
      </w:r>
    </w:p>
    <w:p w:rsidR="00367AFF" w:rsidRDefault="00367AFF" w:rsidP="00367A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During the year the Falkland Islands Government completed its own site surveys and commissioned PWC to </w:t>
      </w:r>
      <w:proofErr w:type="gramStart"/>
      <w:r>
        <w:rPr>
          <w:rFonts w:ascii="Arial" w:hAnsi="Arial" w:cs="Arial"/>
          <w:sz w:val="20"/>
          <w:szCs w:val="20"/>
        </w:rPr>
        <w:t>advise</w:t>
      </w:r>
      <w:proofErr w:type="gramEnd"/>
      <w:r>
        <w:rPr>
          <w:rFonts w:ascii="Arial" w:hAnsi="Arial" w:cs="Arial"/>
          <w:sz w:val="20"/>
          <w:szCs w:val="20"/>
        </w:rPr>
        <w:t xml:space="preserve"> on the feasibility of financing a new deep water port at the government’s designated site at Port William in Stanley’s outer harbour. However further progress awaits the agreement of commercial terms with port users and FIG support. </w:t>
      </w:r>
    </w:p>
    <w:p w:rsidR="00367AFF" w:rsidRPr="00E131E9" w:rsidRDefault="00367AFF" w:rsidP="00367A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We have deferred, pending further progress on the Sea Lion development, the construction of 26 apartments on Fitzroy Road and a workers’ camp at Dairy Paddock.   </w:t>
      </w:r>
    </w:p>
    <w:p w:rsidR="00367AFF" w:rsidRDefault="00367AFF" w:rsidP="00367AFF">
      <w:pPr>
        <w:widowControl w:val="0"/>
        <w:overflowPunct w:val="0"/>
        <w:autoSpaceDE w:val="0"/>
        <w:autoSpaceDN w:val="0"/>
        <w:adjustRightInd w:val="0"/>
        <w:jc w:val="both"/>
        <w:rPr>
          <w:rFonts w:ascii="Arial" w:hAnsi="Arial" w:cs="Arial"/>
          <w:sz w:val="20"/>
          <w:szCs w:val="20"/>
        </w:rPr>
      </w:pPr>
      <w:r w:rsidRPr="00E131E9">
        <w:rPr>
          <w:rFonts w:ascii="Arial" w:hAnsi="Arial" w:cs="Arial"/>
          <w:sz w:val="20"/>
          <w:szCs w:val="20"/>
        </w:rPr>
        <w:t xml:space="preserve">In </w:t>
      </w:r>
      <w:r>
        <w:rPr>
          <w:rFonts w:ascii="Arial" w:hAnsi="Arial" w:cs="Arial"/>
          <w:sz w:val="20"/>
          <w:szCs w:val="20"/>
        </w:rPr>
        <w:t>the year, FIC’s construction</w:t>
      </w:r>
      <w:r w:rsidRPr="00E131E9">
        <w:rPr>
          <w:rFonts w:ascii="Arial" w:hAnsi="Arial" w:cs="Arial"/>
          <w:sz w:val="20"/>
          <w:szCs w:val="20"/>
        </w:rPr>
        <w:t xml:space="preserve"> joint venture</w:t>
      </w:r>
      <w:r>
        <w:rPr>
          <w:rFonts w:ascii="Arial" w:hAnsi="Arial" w:cs="Arial"/>
          <w:sz w:val="20"/>
          <w:szCs w:val="20"/>
        </w:rPr>
        <w:t>,</w:t>
      </w:r>
      <w:r w:rsidRPr="00E131E9">
        <w:rPr>
          <w:rFonts w:ascii="Arial" w:hAnsi="Arial" w:cs="Arial"/>
          <w:sz w:val="20"/>
          <w:szCs w:val="20"/>
        </w:rPr>
        <w:t xml:space="preserve"> the South Atlantic Construction Company, (“</w:t>
      </w:r>
      <w:proofErr w:type="spellStart"/>
      <w:r w:rsidRPr="00E131E9">
        <w:rPr>
          <w:rFonts w:ascii="Arial" w:hAnsi="Arial" w:cs="Arial"/>
          <w:sz w:val="20"/>
          <w:szCs w:val="20"/>
        </w:rPr>
        <w:t>SA</w:t>
      </w:r>
      <w:r>
        <w:rPr>
          <w:rFonts w:ascii="Arial" w:hAnsi="Arial" w:cs="Arial"/>
          <w:sz w:val="20"/>
          <w:szCs w:val="20"/>
        </w:rPr>
        <w:t>t</w:t>
      </w:r>
      <w:r w:rsidRPr="00E131E9">
        <w:rPr>
          <w:rFonts w:ascii="Arial" w:hAnsi="Arial" w:cs="Arial"/>
          <w:sz w:val="20"/>
          <w:szCs w:val="20"/>
        </w:rPr>
        <w:t>CO</w:t>
      </w:r>
      <w:proofErr w:type="spellEnd"/>
      <w:r w:rsidRPr="00E131E9">
        <w:rPr>
          <w:rFonts w:ascii="Arial" w:hAnsi="Arial" w:cs="Arial"/>
          <w:sz w:val="20"/>
          <w:szCs w:val="20"/>
        </w:rPr>
        <w:t>”) w</w:t>
      </w:r>
      <w:r>
        <w:rPr>
          <w:rFonts w:ascii="Arial" w:hAnsi="Arial" w:cs="Arial"/>
          <w:sz w:val="20"/>
          <w:szCs w:val="20"/>
        </w:rPr>
        <w:t xml:space="preserve">on its first contracts undertaking infrastructure work for FIG and winning the contract to install a new floating dock in Stanley Harbour that will support Noble Energy’s exploration drilling programme in 2015. Work on the dock commenced in March 2014 and is expected to be ready by mid-2014. Connected with this contract, </w:t>
      </w:r>
      <w:proofErr w:type="spellStart"/>
      <w:r>
        <w:rPr>
          <w:rFonts w:ascii="Arial" w:hAnsi="Arial" w:cs="Arial"/>
          <w:sz w:val="20"/>
          <w:szCs w:val="20"/>
        </w:rPr>
        <w:t>SAtCO</w:t>
      </w:r>
      <w:proofErr w:type="spellEnd"/>
      <w:r>
        <w:rPr>
          <w:rFonts w:ascii="Arial" w:hAnsi="Arial" w:cs="Arial"/>
          <w:sz w:val="20"/>
          <w:szCs w:val="20"/>
        </w:rPr>
        <w:t xml:space="preserve"> invested £1</w:t>
      </w:r>
      <w:r w:rsidR="00797C10">
        <w:rPr>
          <w:rFonts w:ascii="Arial" w:hAnsi="Arial" w:cs="Arial"/>
          <w:sz w:val="20"/>
          <w:szCs w:val="20"/>
        </w:rPr>
        <w:t xml:space="preserve"> </w:t>
      </w:r>
      <w:r>
        <w:rPr>
          <w:rFonts w:ascii="Arial" w:hAnsi="Arial" w:cs="Arial"/>
          <w:sz w:val="20"/>
          <w:szCs w:val="20"/>
        </w:rPr>
        <w:t xml:space="preserve">million in crane and forklift facilities which are being leased to Noble Energy. In the year to March 2014 </w:t>
      </w:r>
      <w:proofErr w:type="spellStart"/>
      <w:r>
        <w:rPr>
          <w:rFonts w:ascii="Arial" w:hAnsi="Arial" w:cs="Arial"/>
          <w:sz w:val="20"/>
          <w:szCs w:val="20"/>
        </w:rPr>
        <w:t>SAtCO</w:t>
      </w:r>
      <w:proofErr w:type="spellEnd"/>
      <w:r>
        <w:rPr>
          <w:rFonts w:ascii="Arial" w:hAnsi="Arial" w:cs="Arial"/>
          <w:sz w:val="20"/>
          <w:szCs w:val="20"/>
        </w:rPr>
        <w:t xml:space="preserve"> earned revenues </w:t>
      </w:r>
      <w:r w:rsidRPr="00A43CEC">
        <w:rPr>
          <w:rFonts w:ascii="Arial" w:hAnsi="Arial" w:cs="Arial"/>
          <w:sz w:val="20"/>
          <w:szCs w:val="20"/>
        </w:rPr>
        <w:t>of £</w:t>
      </w:r>
      <w:r>
        <w:rPr>
          <w:rFonts w:ascii="Arial" w:hAnsi="Arial" w:cs="Arial"/>
          <w:sz w:val="20"/>
          <w:szCs w:val="20"/>
        </w:rPr>
        <w:t xml:space="preserve">1.0 million and produced a profit before tax of £0.1 million. </w:t>
      </w:r>
      <w:r w:rsidR="00797C10">
        <w:rPr>
          <w:rFonts w:ascii="Arial" w:hAnsi="Arial" w:cs="Arial"/>
          <w:sz w:val="20"/>
          <w:szCs w:val="20"/>
        </w:rPr>
        <w:t xml:space="preserve">The Group’s share of post-tax results from </w:t>
      </w:r>
      <w:proofErr w:type="spellStart"/>
      <w:r w:rsidR="00797C10">
        <w:rPr>
          <w:rFonts w:ascii="Arial" w:hAnsi="Arial" w:cs="Arial"/>
          <w:sz w:val="20"/>
          <w:szCs w:val="20"/>
        </w:rPr>
        <w:t>SAtCO</w:t>
      </w:r>
      <w:proofErr w:type="spellEnd"/>
      <w:r w:rsidR="00797C10">
        <w:rPr>
          <w:rFonts w:ascii="Arial" w:hAnsi="Arial" w:cs="Arial"/>
          <w:sz w:val="20"/>
          <w:szCs w:val="20"/>
        </w:rPr>
        <w:t xml:space="preserve"> was £0.04 million.  </w:t>
      </w:r>
      <w:r>
        <w:rPr>
          <w:rFonts w:ascii="Arial" w:hAnsi="Arial" w:cs="Arial"/>
          <w:sz w:val="20"/>
          <w:szCs w:val="20"/>
        </w:rPr>
        <w:t xml:space="preserve">All staff </w:t>
      </w:r>
      <w:proofErr w:type="gramStart"/>
      <w:r>
        <w:rPr>
          <w:rFonts w:ascii="Arial" w:hAnsi="Arial" w:cs="Arial"/>
          <w:sz w:val="20"/>
          <w:szCs w:val="20"/>
        </w:rPr>
        <w:t>were</w:t>
      </w:r>
      <w:proofErr w:type="gramEnd"/>
      <w:r>
        <w:rPr>
          <w:rFonts w:ascii="Arial" w:hAnsi="Arial" w:cs="Arial"/>
          <w:sz w:val="20"/>
          <w:szCs w:val="20"/>
        </w:rPr>
        <w:t xml:space="preserve"> seconded as required from parent companies FIC and </w:t>
      </w:r>
      <w:proofErr w:type="spellStart"/>
      <w:r>
        <w:rPr>
          <w:rFonts w:ascii="Arial" w:hAnsi="Arial" w:cs="Arial"/>
          <w:sz w:val="20"/>
          <w:szCs w:val="20"/>
        </w:rPr>
        <w:t>Trant</w:t>
      </w:r>
      <w:proofErr w:type="spellEnd"/>
      <w:r>
        <w:rPr>
          <w:rFonts w:ascii="Arial" w:hAnsi="Arial" w:cs="Arial"/>
          <w:sz w:val="20"/>
          <w:szCs w:val="20"/>
        </w:rPr>
        <w:t xml:space="preserve"> Construction and at 31 March 2014 </w:t>
      </w:r>
      <w:proofErr w:type="spellStart"/>
      <w:r>
        <w:rPr>
          <w:rFonts w:ascii="Arial" w:hAnsi="Arial" w:cs="Arial"/>
          <w:sz w:val="20"/>
          <w:szCs w:val="20"/>
        </w:rPr>
        <w:t>SAtCO</w:t>
      </w:r>
      <w:proofErr w:type="spellEnd"/>
      <w:r>
        <w:rPr>
          <w:rFonts w:ascii="Arial" w:hAnsi="Arial" w:cs="Arial"/>
          <w:sz w:val="20"/>
          <w:szCs w:val="20"/>
        </w:rPr>
        <w:t xml:space="preserve"> had no permanent employees.</w:t>
      </w:r>
    </w:p>
    <w:p w:rsidR="00367AFF" w:rsidRDefault="00367AFF" w:rsidP="00367AFF">
      <w:pPr>
        <w:widowControl w:val="0"/>
        <w:autoSpaceDE w:val="0"/>
        <w:autoSpaceDN w:val="0"/>
        <w:adjustRightInd w:val="0"/>
        <w:rPr>
          <w:rFonts w:ascii="Arial" w:hAnsi="Arial" w:cs="Arial"/>
          <w:sz w:val="20"/>
          <w:szCs w:val="20"/>
        </w:rPr>
      </w:pPr>
      <w:r>
        <w:rPr>
          <w:rFonts w:ascii="Arial" w:hAnsi="Arial" w:cs="Arial"/>
          <w:sz w:val="20"/>
          <w:szCs w:val="20"/>
        </w:rPr>
        <w:t xml:space="preserve"> </w:t>
      </w:r>
    </w:p>
    <w:p w:rsidR="00367AFF" w:rsidRPr="00367AFF" w:rsidRDefault="00367AFF" w:rsidP="00367AFF">
      <w:pPr>
        <w:widowControl w:val="0"/>
        <w:autoSpaceDE w:val="0"/>
        <w:autoSpaceDN w:val="0"/>
        <w:adjustRightInd w:val="0"/>
        <w:rPr>
          <w:rFonts w:ascii="Arial" w:hAnsi="Arial" w:cs="Arial"/>
          <w:b/>
          <w:sz w:val="20"/>
          <w:szCs w:val="20"/>
        </w:rPr>
      </w:pPr>
      <w:r w:rsidRPr="00ED4FAB">
        <w:rPr>
          <w:rFonts w:ascii="Arial" w:hAnsi="Arial" w:cs="Arial"/>
          <w:b/>
          <w:sz w:val="20"/>
          <w:szCs w:val="20"/>
        </w:rPr>
        <w:t>FIC K</w:t>
      </w:r>
      <w:r w:rsidR="00812B39">
        <w:rPr>
          <w:rFonts w:ascii="Arial" w:hAnsi="Arial" w:cs="Arial"/>
          <w:b/>
          <w:sz w:val="20"/>
          <w:szCs w:val="20"/>
        </w:rPr>
        <w:t>ey Performance Indicators</w:t>
      </w:r>
      <w:r w:rsidRPr="00ED4FAB">
        <w:rPr>
          <w:rFonts w:ascii="Arial" w:hAnsi="Arial" w:cs="Arial"/>
          <w:b/>
          <w:sz w:val="20"/>
          <w:szCs w:val="20"/>
        </w:rPr>
        <w:t xml:space="preserve"> and Operational Drivers </w:t>
      </w:r>
    </w:p>
    <w:tbl>
      <w:tblPr>
        <w:tblStyle w:val="TableGrid"/>
        <w:tblW w:w="0" w:type="auto"/>
        <w:tblLook w:val="04A0" w:firstRow="1" w:lastRow="0" w:firstColumn="1" w:lastColumn="0" w:noHBand="0" w:noVBand="1"/>
      </w:tblPr>
      <w:tblGrid>
        <w:gridCol w:w="3369"/>
        <w:gridCol w:w="1937"/>
        <w:gridCol w:w="1937"/>
        <w:gridCol w:w="1937"/>
      </w:tblGrid>
      <w:tr w:rsidR="00367AFF" w:rsidRPr="003E5BA3" w:rsidTr="00367AFF">
        <w:tc>
          <w:tcPr>
            <w:tcW w:w="3369" w:type="dxa"/>
          </w:tcPr>
          <w:p w:rsidR="00367AFF" w:rsidRPr="001A77D4" w:rsidRDefault="00367AFF" w:rsidP="00367AFF">
            <w:pPr>
              <w:widowControl w:val="0"/>
              <w:autoSpaceDE w:val="0"/>
              <w:autoSpaceDN w:val="0"/>
              <w:adjustRightInd w:val="0"/>
              <w:spacing w:after="0" w:line="0" w:lineRule="atLeast"/>
              <w:rPr>
                <w:rFonts w:ascii="Arial" w:hAnsi="Arial" w:cs="Arial"/>
                <w:b/>
                <w:sz w:val="20"/>
                <w:szCs w:val="20"/>
              </w:rPr>
            </w:pPr>
            <w:r w:rsidRPr="001A77D4">
              <w:rPr>
                <w:rFonts w:ascii="Arial" w:hAnsi="Arial" w:cs="Arial"/>
                <w:b/>
                <w:sz w:val="20"/>
                <w:szCs w:val="20"/>
              </w:rPr>
              <w:t xml:space="preserve">Year ended 31 March </w:t>
            </w:r>
          </w:p>
        </w:tc>
        <w:tc>
          <w:tcPr>
            <w:tcW w:w="1937" w:type="dxa"/>
          </w:tcPr>
          <w:p w:rsidR="00367AFF" w:rsidRPr="00DB7363" w:rsidRDefault="00367AFF" w:rsidP="00367AFF">
            <w:pPr>
              <w:widowControl w:val="0"/>
              <w:autoSpaceDE w:val="0"/>
              <w:autoSpaceDN w:val="0"/>
              <w:adjustRightInd w:val="0"/>
              <w:spacing w:after="0" w:line="0" w:lineRule="atLeast"/>
              <w:jc w:val="right"/>
              <w:rPr>
                <w:rFonts w:ascii="Arial" w:hAnsi="Arial" w:cs="Arial"/>
                <w:b/>
                <w:sz w:val="20"/>
                <w:szCs w:val="20"/>
              </w:rPr>
            </w:pPr>
            <w:r w:rsidRPr="00DB7363">
              <w:rPr>
                <w:rFonts w:ascii="Arial" w:hAnsi="Arial" w:cs="Arial"/>
                <w:b/>
                <w:sz w:val="20"/>
                <w:szCs w:val="20"/>
              </w:rPr>
              <w:t>2014</w:t>
            </w:r>
          </w:p>
        </w:tc>
        <w:tc>
          <w:tcPr>
            <w:tcW w:w="1937" w:type="dxa"/>
          </w:tcPr>
          <w:p w:rsidR="00367AFF" w:rsidRPr="003E5BA3" w:rsidRDefault="00367AFF" w:rsidP="00367AFF">
            <w:pPr>
              <w:widowControl w:val="0"/>
              <w:autoSpaceDE w:val="0"/>
              <w:autoSpaceDN w:val="0"/>
              <w:adjustRightInd w:val="0"/>
              <w:spacing w:after="0" w:line="0" w:lineRule="atLeast"/>
              <w:jc w:val="right"/>
              <w:rPr>
                <w:rFonts w:ascii="Arial" w:hAnsi="Arial" w:cs="Arial"/>
                <w:b/>
                <w:sz w:val="20"/>
                <w:szCs w:val="20"/>
              </w:rPr>
            </w:pPr>
            <w:r w:rsidRPr="003E5BA3">
              <w:rPr>
                <w:rFonts w:ascii="Arial" w:hAnsi="Arial" w:cs="Arial"/>
                <w:b/>
                <w:sz w:val="20"/>
                <w:szCs w:val="20"/>
              </w:rPr>
              <w:t>2013</w:t>
            </w:r>
          </w:p>
        </w:tc>
        <w:tc>
          <w:tcPr>
            <w:tcW w:w="1937" w:type="dxa"/>
          </w:tcPr>
          <w:p w:rsidR="00367AFF" w:rsidRPr="003E5BA3" w:rsidRDefault="00367AFF" w:rsidP="00367AFF">
            <w:pPr>
              <w:widowControl w:val="0"/>
              <w:autoSpaceDE w:val="0"/>
              <w:autoSpaceDN w:val="0"/>
              <w:adjustRightInd w:val="0"/>
              <w:spacing w:after="0" w:line="0" w:lineRule="atLeast"/>
              <w:jc w:val="right"/>
              <w:rPr>
                <w:rFonts w:ascii="Arial" w:hAnsi="Arial" w:cs="Arial"/>
                <w:b/>
                <w:sz w:val="20"/>
                <w:szCs w:val="20"/>
              </w:rPr>
            </w:pPr>
            <w:r w:rsidRPr="003E5BA3">
              <w:rPr>
                <w:rFonts w:ascii="Arial" w:hAnsi="Arial" w:cs="Arial"/>
                <w:b/>
                <w:sz w:val="20"/>
                <w:szCs w:val="20"/>
              </w:rPr>
              <w:t>2012</w:t>
            </w:r>
          </w:p>
        </w:tc>
      </w:tr>
      <w:tr w:rsidR="00367AFF" w:rsidRPr="0058376E" w:rsidTr="00367AFF">
        <w:trPr>
          <w:trHeight w:val="473"/>
        </w:trPr>
        <w:tc>
          <w:tcPr>
            <w:tcW w:w="3369" w:type="dxa"/>
            <w:vAlign w:val="bottom"/>
          </w:tcPr>
          <w:p w:rsidR="00367AFF" w:rsidRPr="00A43CEC" w:rsidRDefault="00367AFF" w:rsidP="00367AFF">
            <w:pPr>
              <w:widowControl w:val="0"/>
              <w:autoSpaceDE w:val="0"/>
              <w:autoSpaceDN w:val="0"/>
              <w:adjustRightInd w:val="0"/>
              <w:spacing w:after="0" w:line="0" w:lineRule="atLeast"/>
              <w:rPr>
                <w:rFonts w:ascii="Arial" w:hAnsi="Arial" w:cs="Arial"/>
                <w:sz w:val="20"/>
                <w:szCs w:val="20"/>
              </w:rPr>
            </w:pPr>
            <w:r w:rsidRPr="00A43CEC">
              <w:rPr>
                <w:rFonts w:ascii="Arial" w:hAnsi="Arial" w:cs="Arial"/>
                <w:sz w:val="20"/>
                <w:szCs w:val="20"/>
              </w:rPr>
              <w:t xml:space="preserve">Staff Numbers (  FTE </w:t>
            </w:r>
            <w:r>
              <w:rPr>
                <w:rFonts w:ascii="Arial" w:hAnsi="Arial" w:cs="Arial"/>
                <w:sz w:val="20"/>
                <w:szCs w:val="20"/>
              </w:rPr>
              <w:t xml:space="preserve">31 March </w:t>
            </w:r>
            <w:r w:rsidRPr="00A43CEC">
              <w:rPr>
                <w:rFonts w:ascii="Arial" w:hAnsi="Arial" w:cs="Arial"/>
                <w:sz w:val="20"/>
                <w:szCs w:val="20"/>
              </w:rPr>
              <w:t>)</w:t>
            </w:r>
          </w:p>
        </w:tc>
        <w:tc>
          <w:tcPr>
            <w:tcW w:w="1937" w:type="dxa"/>
            <w:vAlign w:val="bottom"/>
          </w:tcPr>
          <w:p w:rsidR="00367AFF" w:rsidRPr="0058376E" w:rsidRDefault="00367AFF" w:rsidP="00367AFF">
            <w:pPr>
              <w:widowControl w:val="0"/>
              <w:autoSpaceDE w:val="0"/>
              <w:autoSpaceDN w:val="0"/>
              <w:adjustRightInd w:val="0"/>
              <w:spacing w:after="0" w:line="0" w:lineRule="atLeast"/>
              <w:jc w:val="right"/>
              <w:rPr>
                <w:rFonts w:ascii="Arial" w:hAnsi="Arial" w:cs="Arial"/>
                <w:color w:val="000000"/>
                <w:sz w:val="20"/>
                <w:szCs w:val="20"/>
              </w:rPr>
            </w:pPr>
            <w:r>
              <w:rPr>
                <w:rFonts w:ascii="Arial" w:hAnsi="Arial" w:cs="Arial"/>
                <w:color w:val="000000"/>
                <w:sz w:val="20"/>
                <w:szCs w:val="20"/>
              </w:rPr>
              <w:t>165</w:t>
            </w:r>
          </w:p>
        </w:tc>
        <w:tc>
          <w:tcPr>
            <w:tcW w:w="1937" w:type="dxa"/>
            <w:vAlign w:val="bottom"/>
          </w:tcPr>
          <w:p w:rsidR="00367AFF" w:rsidRPr="0058376E" w:rsidRDefault="00367AFF" w:rsidP="00367AFF">
            <w:pPr>
              <w:widowControl w:val="0"/>
              <w:autoSpaceDE w:val="0"/>
              <w:autoSpaceDN w:val="0"/>
              <w:adjustRightInd w:val="0"/>
              <w:spacing w:after="0" w:line="0" w:lineRule="atLeast"/>
              <w:jc w:val="right"/>
              <w:rPr>
                <w:rFonts w:ascii="Arial" w:hAnsi="Arial" w:cs="Arial"/>
                <w:color w:val="000000"/>
                <w:sz w:val="20"/>
                <w:szCs w:val="20"/>
              </w:rPr>
            </w:pPr>
            <w:r>
              <w:rPr>
                <w:rFonts w:ascii="Arial" w:hAnsi="Arial" w:cs="Arial"/>
                <w:color w:val="000000"/>
                <w:sz w:val="20"/>
                <w:szCs w:val="20"/>
              </w:rPr>
              <w:t>129</w:t>
            </w:r>
          </w:p>
        </w:tc>
        <w:tc>
          <w:tcPr>
            <w:tcW w:w="1937" w:type="dxa"/>
            <w:vAlign w:val="bottom"/>
          </w:tcPr>
          <w:p w:rsidR="00367AFF" w:rsidRPr="0058376E" w:rsidRDefault="00367AFF" w:rsidP="00367AFF">
            <w:pPr>
              <w:widowControl w:val="0"/>
              <w:autoSpaceDE w:val="0"/>
              <w:autoSpaceDN w:val="0"/>
              <w:adjustRightInd w:val="0"/>
              <w:spacing w:after="0" w:line="0" w:lineRule="atLeast"/>
              <w:jc w:val="right"/>
              <w:rPr>
                <w:rFonts w:ascii="Arial" w:hAnsi="Arial" w:cs="Arial"/>
                <w:color w:val="000000"/>
                <w:sz w:val="20"/>
                <w:szCs w:val="20"/>
              </w:rPr>
            </w:pPr>
            <w:r>
              <w:rPr>
                <w:rFonts w:ascii="Arial" w:hAnsi="Arial" w:cs="Arial"/>
                <w:color w:val="000000"/>
                <w:sz w:val="20"/>
                <w:szCs w:val="20"/>
              </w:rPr>
              <w:t>119</w:t>
            </w:r>
          </w:p>
        </w:tc>
      </w:tr>
      <w:tr w:rsidR="00367AFF" w:rsidRPr="0058376E" w:rsidTr="00367AFF">
        <w:tc>
          <w:tcPr>
            <w:tcW w:w="3369" w:type="dxa"/>
          </w:tcPr>
          <w:p w:rsidR="00367AFF" w:rsidRPr="00A43CEC" w:rsidRDefault="00367AFF" w:rsidP="00367AFF">
            <w:pPr>
              <w:widowControl w:val="0"/>
              <w:autoSpaceDE w:val="0"/>
              <w:autoSpaceDN w:val="0"/>
              <w:adjustRightInd w:val="0"/>
              <w:spacing w:after="0" w:line="0" w:lineRule="atLeast"/>
              <w:rPr>
                <w:rFonts w:ascii="Arial" w:hAnsi="Arial" w:cs="Arial"/>
                <w:sz w:val="20"/>
                <w:szCs w:val="20"/>
              </w:rPr>
            </w:pPr>
          </w:p>
        </w:tc>
        <w:tc>
          <w:tcPr>
            <w:tcW w:w="1937" w:type="dxa"/>
            <w:vAlign w:val="bottom"/>
          </w:tcPr>
          <w:p w:rsidR="00367AFF" w:rsidRPr="0058376E" w:rsidRDefault="00367AFF" w:rsidP="00367AFF">
            <w:pPr>
              <w:widowControl w:val="0"/>
              <w:autoSpaceDE w:val="0"/>
              <w:autoSpaceDN w:val="0"/>
              <w:adjustRightInd w:val="0"/>
              <w:spacing w:after="0" w:line="0" w:lineRule="atLeast"/>
              <w:jc w:val="right"/>
              <w:rPr>
                <w:rFonts w:ascii="Arial" w:hAnsi="Arial" w:cs="Arial"/>
                <w:color w:val="000000"/>
                <w:sz w:val="20"/>
                <w:szCs w:val="20"/>
              </w:rPr>
            </w:pPr>
          </w:p>
        </w:tc>
        <w:tc>
          <w:tcPr>
            <w:tcW w:w="1937" w:type="dxa"/>
            <w:vAlign w:val="bottom"/>
          </w:tcPr>
          <w:p w:rsidR="00367AFF" w:rsidRPr="0058376E" w:rsidRDefault="00367AFF" w:rsidP="00367AFF">
            <w:pPr>
              <w:widowControl w:val="0"/>
              <w:autoSpaceDE w:val="0"/>
              <w:autoSpaceDN w:val="0"/>
              <w:adjustRightInd w:val="0"/>
              <w:spacing w:after="0" w:line="0" w:lineRule="atLeast"/>
              <w:jc w:val="right"/>
              <w:rPr>
                <w:rFonts w:ascii="Arial" w:hAnsi="Arial" w:cs="Arial"/>
                <w:color w:val="000000"/>
                <w:sz w:val="20"/>
                <w:szCs w:val="20"/>
              </w:rPr>
            </w:pPr>
          </w:p>
        </w:tc>
        <w:tc>
          <w:tcPr>
            <w:tcW w:w="1937" w:type="dxa"/>
            <w:vAlign w:val="bottom"/>
          </w:tcPr>
          <w:p w:rsidR="00367AFF" w:rsidRPr="0058376E" w:rsidRDefault="00367AFF" w:rsidP="00367AFF">
            <w:pPr>
              <w:widowControl w:val="0"/>
              <w:autoSpaceDE w:val="0"/>
              <w:autoSpaceDN w:val="0"/>
              <w:adjustRightInd w:val="0"/>
              <w:spacing w:after="0" w:line="0" w:lineRule="atLeast"/>
              <w:jc w:val="right"/>
              <w:rPr>
                <w:rFonts w:ascii="Arial" w:hAnsi="Arial" w:cs="Arial"/>
                <w:color w:val="000000"/>
                <w:sz w:val="20"/>
                <w:szCs w:val="20"/>
              </w:rPr>
            </w:pPr>
          </w:p>
        </w:tc>
      </w:tr>
      <w:tr w:rsidR="00367AFF" w:rsidRPr="003E5BA3" w:rsidTr="00367AFF">
        <w:tc>
          <w:tcPr>
            <w:tcW w:w="3369" w:type="dxa"/>
          </w:tcPr>
          <w:p w:rsidR="00367AFF" w:rsidRPr="0058376E" w:rsidRDefault="00367AFF" w:rsidP="00367AFF">
            <w:pPr>
              <w:widowControl w:val="0"/>
              <w:autoSpaceDE w:val="0"/>
              <w:autoSpaceDN w:val="0"/>
              <w:adjustRightInd w:val="0"/>
              <w:spacing w:after="0" w:line="0" w:lineRule="atLeast"/>
              <w:rPr>
                <w:rFonts w:ascii="Arial" w:hAnsi="Arial" w:cs="Arial"/>
                <w:sz w:val="20"/>
                <w:szCs w:val="20"/>
              </w:rPr>
            </w:pPr>
            <w:r w:rsidRPr="00A43CEC">
              <w:rPr>
                <w:rFonts w:ascii="Arial" w:hAnsi="Arial" w:cs="Arial"/>
                <w:sz w:val="20"/>
                <w:szCs w:val="20"/>
              </w:rPr>
              <w:t>Capita</w:t>
            </w:r>
            <w:r w:rsidRPr="0058376E">
              <w:rPr>
                <w:rFonts w:ascii="Arial" w:hAnsi="Arial" w:cs="Arial"/>
                <w:sz w:val="20"/>
                <w:szCs w:val="20"/>
              </w:rPr>
              <w:t>l Expenditure £’000’s</w:t>
            </w:r>
          </w:p>
        </w:tc>
        <w:tc>
          <w:tcPr>
            <w:tcW w:w="1937" w:type="dxa"/>
            <w:vAlign w:val="bottom"/>
          </w:tcPr>
          <w:p w:rsidR="00367AFF" w:rsidRPr="0058376E" w:rsidRDefault="00367AFF" w:rsidP="00367AFF">
            <w:pPr>
              <w:widowControl w:val="0"/>
              <w:autoSpaceDE w:val="0"/>
              <w:autoSpaceDN w:val="0"/>
              <w:adjustRightInd w:val="0"/>
              <w:spacing w:after="0" w:line="0" w:lineRule="atLeast"/>
              <w:jc w:val="right"/>
              <w:rPr>
                <w:rFonts w:ascii="Arial" w:hAnsi="Arial" w:cs="Arial"/>
                <w:sz w:val="20"/>
                <w:szCs w:val="20"/>
              </w:rPr>
            </w:pPr>
            <w:r w:rsidRPr="0058376E">
              <w:rPr>
                <w:rFonts w:ascii="Arial" w:hAnsi="Arial" w:cs="Arial"/>
                <w:sz w:val="20"/>
                <w:szCs w:val="20"/>
              </w:rPr>
              <w:t>2,715</w:t>
            </w:r>
          </w:p>
        </w:tc>
        <w:tc>
          <w:tcPr>
            <w:tcW w:w="1937" w:type="dxa"/>
            <w:vAlign w:val="bottom"/>
          </w:tcPr>
          <w:p w:rsidR="00367AFF" w:rsidRPr="0058376E" w:rsidRDefault="00367AFF" w:rsidP="00367AFF">
            <w:pPr>
              <w:widowControl w:val="0"/>
              <w:autoSpaceDE w:val="0"/>
              <w:autoSpaceDN w:val="0"/>
              <w:adjustRightInd w:val="0"/>
              <w:spacing w:after="0" w:line="0" w:lineRule="atLeast"/>
              <w:jc w:val="right"/>
              <w:rPr>
                <w:rFonts w:ascii="Arial" w:hAnsi="Arial" w:cs="Arial"/>
                <w:sz w:val="20"/>
                <w:szCs w:val="20"/>
              </w:rPr>
            </w:pPr>
            <w:r w:rsidRPr="0058376E">
              <w:rPr>
                <w:rFonts w:ascii="Arial" w:hAnsi="Arial" w:cs="Arial"/>
                <w:sz w:val="20"/>
                <w:szCs w:val="20"/>
              </w:rPr>
              <w:t>1,594</w:t>
            </w:r>
          </w:p>
        </w:tc>
        <w:tc>
          <w:tcPr>
            <w:tcW w:w="1937" w:type="dxa"/>
            <w:vAlign w:val="bottom"/>
          </w:tcPr>
          <w:p w:rsidR="00367AFF" w:rsidRPr="0058376E" w:rsidRDefault="00367AFF" w:rsidP="00367AFF">
            <w:pPr>
              <w:widowControl w:val="0"/>
              <w:autoSpaceDE w:val="0"/>
              <w:autoSpaceDN w:val="0"/>
              <w:adjustRightInd w:val="0"/>
              <w:spacing w:after="0" w:line="0" w:lineRule="atLeast"/>
              <w:jc w:val="right"/>
              <w:rPr>
                <w:rFonts w:ascii="Arial" w:hAnsi="Arial" w:cs="Arial"/>
                <w:sz w:val="20"/>
                <w:szCs w:val="20"/>
              </w:rPr>
            </w:pPr>
            <w:r w:rsidRPr="0058376E">
              <w:rPr>
                <w:rFonts w:ascii="Arial" w:hAnsi="Arial" w:cs="Arial"/>
                <w:sz w:val="20"/>
                <w:szCs w:val="20"/>
              </w:rPr>
              <w:t>632</w:t>
            </w:r>
          </w:p>
        </w:tc>
      </w:tr>
      <w:tr w:rsidR="00367AFF" w:rsidRPr="0058376E" w:rsidTr="00367AFF">
        <w:tc>
          <w:tcPr>
            <w:tcW w:w="3369" w:type="dxa"/>
          </w:tcPr>
          <w:p w:rsidR="00367AFF" w:rsidRPr="00A43CEC" w:rsidRDefault="00367AFF" w:rsidP="00367AFF">
            <w:pPr>
              <w:widowControl w:val="0"/>
              <w:autoSpaceDE w:val="0"/>
              <w:autoSpaceDN w:val="0"/>
              <w:adjustRightInd w:val="0"/>
              <w:spacing w:after="0" w:line="0" w:lineRule="atLeast"/>
              <w:rPr>
                <w:rFonts w:ascii="Arial" w:hAnsi="Arial" w:cs="Arial"/>
                <w:sz w:val="20"/>
                <w:szCs w:val="20"/>
              </w:rPr>
            </w:pPr>
          </w:p>
        </w:tc>
        <w:tc>
          <w:tcPr>
            <w:tcW w:w="1937" w:type="dxa"/>
            <w:vAlign w:val="bottom"/>
          </w:tcPr>
          <w:p w:rsidR="00367AFF" w:rsidRPr="0058376E" w:rsidRDefault="00367AFF" w:rsidP="00367AFF">
            <w:pPr>
              <w:widowControl w:val="0"/>
              <w:autoSpaceDE w:val="0"/>
              <w:autoSpaceDN w:val="0"/>
              <w:adjustRightInd w:val="0"/>
              <w:spacing w:after="0" w:line="0" w:lineRule="atLeast"/>
              <w:jc w:val="right"/>
              <w:rPr>
                <w:rFonts w:ascii="Arial" w:hAnsi="Arial" w:cs="Arial"/>
                <w:color w:val="000000"/>
                <w:sz w:val="20"/>
                <w:szCs w:val="20"/>
              </w:rPr>
            </w:pPr>
          </w:p>
        </w:tc>
        <w:tc>
          <w:tcPr>
            <w:tcW w:w="1937" w:type="dxa"/>
            <w:vAlign w:val="bottom"/>
          </w:tcPr>
          <w:p w:rsidR="00367AFF" w:rsidRPr="0058376E" w:rsidRDefault="00367AFF" w:rsidP="00367AFF">
            <w:pPr>
              <w:widowControl w:val="0"/>
              <w:autoSpaceDE w:val="0"/>
              <w:autoSpaceDN w:val="0"/>
              <w:adjustRightInd w:val="0"/>
              <w:spacing w:after="0" w:line="0" w:lineRule="atLeast"/>
              <w:jc w:val="right"/>
              <w:rPr>
                <w:rFonts w:ascii="Arial" w:hAnsi="Arial" w:cs="Arial"/>
                <w:color w:val="000000"/>
                <w:sz w:val="20"/>
                <w:szCs w:val="20"/>
              </w:rPr>
            </w:pPr>
          </w:p>
        </w:tc>
        <w:tc>
          <w:tcPr>
            <w:tcW w:w="1937" w:type="dxa"/>
            <w:vAlign w:val="bottom"/>
          </w:tcPr>
          <w:p w:rsidR="00367AFF" w:rsidRPr="0058376E" w:rsidRDefault="00367AFF" w:rsidP="00367AFF">
            <w:pPr>
              <w:widowControl w:val="0"/>
              <w:autoSpaceDE w:val="0"/>
              <w:autoSpaceDN w:val="0"/>
              <w:adjustRightInd w:val="0"/>
              <w:spacing w:after="0" w:line="0" w:lineRule="atLeast"/>
              <w:jc w:val="right"/>
              <w:rPr>
                <w:rFonts w:ascii="Arial" w:hAnsi="Arial" w:cs="Arial"/>
                <w:color w:val="000000"/>
                <w:sz w:val="20"/>
                <w:szCs w:val="20"/>
              </w:rPr>
            </w:pPr>
          </w:p>
        </w:tc>
      </w:tr>
      <w:tr w:rsidR="00367AFF" w:rsidRPr="003E5BA3" w:rsidTr="00367AFF">
        <w:tc>
          <w:tcPr>
            <w:tcW w:w="3369" w:type="dxa"/>
          </w:tcPr>
          <w:p w:rsidR="00367AFF" w:rsidRPr="00A43CEC" w:rsidRDefault="00367AFF" w:rsidP="00367AFF">
            <w:pPr>
              <w:widowControl w:val="0"/>
              <w:autoSpaceDE w:val="0"/>
              <w:autoSpaceDN w:val="0"/>
              <w:adjustRightInd w:val="0"/>
              <w:spacing w:after="0" w:line="0" w:lineRule="atLeast"/>
              <w:rPr>
                <w:rFonts w:ascii="Arial" w:hAnsi="Arial" w:cs="Arial"/>
                <w:sz w:val="20"/>
                <w:szCs w:val="20"/>
              </w:rPr>
            </w:pPr>
            <w:r w:rsidRPr="00A43CEC">
              <w:rPr>
                <w:rFonts w:ascii="Arial" w:hAnsi="Arial" w:cs="Arial"/>
                <w:sz w:val="20"/>
                <w:szCs w:val="20"/>
              </w:rPr>
              <w:t>Retail Sales growth %</w:t>
            </w: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-4.8%</w:t>
            </w: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3.0%</w:t>
            </w: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-2.8%</w:t>
            </w:r>
          </w:p>
        </w:tc>
      </w:tr>
      <w:tr w:rsidR="00367AFF" w:rsidRPr="003E5BA3" w:rsidTr="00367AFF">
        <w:tc>
          <w:tcPr>
            <w:tcW w:w="3369" w:type="dxa"/>
          </w:tcPr>
          <w:p w:rsidR="00367AFF" w:rsidRPr="00A43CEC" w:rsidRDefault="00367AFF" w:rsidP="00367AFF">
            <w:pPr>
              <w:widowControl w:val="0"/>
              <w:autoSpaceDE w:val="0"/>
              <w:autoSpaceDN w:val="0"/>
              <w:adjustRightInd w:val="0"/>
              <w:spacing w:after="0" w:line="0" w:lineRule="atLeast"/>
              <w:rPr>
                <w:rFonts w:ascii="Arial" w:hAnsi="Arial" w:cs="Arial"/>
                <w:sz w:val="20"/>
                <w:szCs w:val="20"/>
              </w:rPr>
            </w:pP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p>
        </w:tc>
      </w:tr>
      <w:tr w:rsidR="00367AFF" w:rsidRPr="003E5BA3" w:rsidTr="00367AFF">
        <w:tc>
          <w:tcPr>
            <w:tcW w:w="3369" w:type="dxa"/>
          </w:tcPr>
          <w:p w:rsidR="00367AFF" w:rsidRPr="00A43CEC" w:rsidRDefault="00367AFF" w:rsidP="00367AFF">
            <w:pPr>
              <w:widowControl w:val="0"/>
              <w:autoSpaceDE w:val="0"/>
              <w:autoSpaceDN w:val="0"/>
              <w:adjustRightInd w:val="0"/>
              <w:spacing w:after="0" w:line="0" w:lineRule="atLeast"/>
              <w:rPr>
                <w:rFonts w:ascii="Arial" w:hAnsi="Arial" w:cs="Arial"/>
                <w:sz w:val="20"/>
                <w:szCs w:val="20"/>
              </w:rPr>
            </w:pPr>
          </w:p>
        </w:tc>
        <w:tc>
          <w:tcPr>
            <w:tcW w:w="1937" w:type="dxa"/>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937" w:type="dxa"/>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937" w:type="dxa"/>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r>
      <w:tr w:rsidR="00367AFF" w:rsidRPr="003E5BA3" w:rsidTr="00367AFF">
        <w:tc>
          <w:tcPr>
            <w:tcW w:w="3369" w:type="dxa"/>
          </w:tcPr>
          <w:p w:rsidR="00367AFF" w:rsidRPr="0058376E" w:rsidRDefault="00367AFF" w:rsidP="00367AFF">
            <w:pPr>
              <w:widowControl w:val="0"/>
              <w:autoSpaceDE w:val="0"/>
              <w:autoSpaceDN w:val="0"/>
              <w:adjustRightInd w:val="0"/>
              <w:spacing w:after="0" w:line="0" w:lineRule="atLeast"/>
              <w:rPr>
                <w:rFonts w:ascii="Arial" w:hAnsi="Arial" w:cs="Arial"/>
                <w:sz w:val="20"/>
                <w:szCs w:val="20"/>
              </w:rPr>
            </w:pPr>
            <w:r w:rsidRPr="00A43CEC">
              <w:rPr>
                <w:rFonts w:ascii="Arial" w:hAnsi="Arial" w:cs="Arial"/>
                <w:sz w:val="20"/>
                <w:szCs w:val="20"/>
              </w:rPr>
              <w:t xml:space="preserve">Number of </w:t>
            </w:r>
            <w:r>
              <w:rPr>
                <w:rFonts w:ascii="Arial" w:hAnsi="Arial" w:cs="Arial"/>
                <w:sz w:val="20"/>
                <w:szCs w:val="20"/>
              </w:rPr>
              <w:t xml:space="preserve">FIC </w:t>
            </w:r>
            <w:r w:rsidRPr="00A43CEC">
              <w:rPr>
                <w:rFonts w:ascii="Arial" w:hAnsi="Arial" w:cs="Arial"/>
                <w:sz w:val="20"/>
                <w:szCs w:val="20"/>
              </w:rPr>
              <w:t>rental properties</w:t>
            </w:r>
          </w:p>
        </w:tc>
        <w:tc>
          <w:tcPr>
            <w:tcW w:w="1937" w:type="dxa"/>
          </w:tcPr>
          <w:p w:rsidR="00367AFF" w:rsidRPr="00767A96" w:rsidRDefault="00367AFF" w:rsidP="00367AFF">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36</w:t>
            </w:r>
          </w:p>
        </w:tc>
        <w:tc>
          <w:tcPr>
            <w:tcW w:w="1937" w:type="dxa"/>
          </w:tcPr>
          <w:p w:rsidR="00367AFF" w:rsidRPr="00767A96" w:rsidRDefault="00367AFF" w:rsidP="00367AFF">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32</w:t>
            </w:r>
          </w:p>
        </w:tc>
        <w:tc>
          <w:tcPr>
            <w:tcW w:w="1937" w:type="dxa"/>
          </w:tcPr>
          <w:p w:rsidR="00367AFF" w:rsidRPr="00767A96" w:rsidRDefault="00367AFF" w:rsidP="00367AFF">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33</w:t>
            </w:r>
          </w:p>
        </w:tc>
      </w:tr>
      <w:tr w:rsidR="00367AFF" w:rsidRPr="003E5BA3" w:rsidTr="00367AFF">
        <w:tc>
          <w:tcPr>
            <w:tcW w:w="3369" w:type="dxa"/>
          </w:tcPr>
          <w:p w:rsidR="00367AFF" w:rsidRPr="00A43CEC" w:rsidRDefault="00367AFF" w:rsidP="00367AFF">
            <w:pPr>
              <w:widowControl w:val="0"/>
              <w:autoSpaceDE w:val="0"/>
              <w:autoSpaceDN w:val="0"/>
              <w:adjustRightInd w:val="0"/>
              <w:spacing w:after="0" w:line="0" w:lineRule="atLeast"/>
              <w:rPr>
                <w:rFonts w:ascii="Arial" w:hAnsi="Arial" w:cs="Arial"/>
                <w:sz w:val="20"/>
                <w:szCs w:val="20"/>
              </w:rPr>
            </w:pPr>
            <w:r w:rsidRPr="00A43CEC">
              <w:rPr>
                <w:rFonts w:ascii="Arial" w:hAnsi="Arial" w:cs="Arial"/>
                <w:sz w:val="20"/>
                <w:szCs w:val="20"/>
              </w:rPr>
              <w:t>Average occupancy during the year</w:t>
            </w:r>
          </w:p>
        </w:tc>
        <w:tc>
          <w:tcPr>
            <w:tcW w:w="1937" w:type="dxa"/>
            <w:shd w:val="clear" w:color="auto" w:fill="auto"/>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82%</w:t>
            </w:r>
          </w:p>
        </w:tc>
        <w:tc>
          <w:tcPr>
            <w:tcW w:w="1937" w:type="dxa"/>
            <w:shd w:val="clear" w:color="auto" w:fill="auto"/>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88%</w:t>
            </w:r>
          </w:p>
        </w:tc>
        <w:tc>
          <w:tcPr>
            <w:tcW w:w="1937" w:type="dxa"/>
            <w:shd w:val="clear" w:color="auto" w:fill="auto"/>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83%</w:t>
            </w:r>
          </w:p>
        </w:tc>
      </w:tr>
      <w:tr w:rsidR="00367AFF" w:rsidRPr="003E5BA3" w:rsidTr="00367AFF">
        <w:tc>
          <w:tcPr>
            <w:tcW w:w="3369" w:type="dxa"/>
          </w:tcPr>
          <w:p w:rsidR="00367AFF" w:rsidRPr="00A43CEC" w:rsidRDefault="00367AFF" w:rsidP="00367AFF">
            <w:pPr>
              <w:widowControl w:val="0"/>
              <w:autoSpaceDE w:val="0"/>
              <w:autoSpaceDN w:val="0"/>
              <w:adjustRightInd w:val="0"/>
              <w:spacing w:after="0" w:line="0" w:lineRule="atLeast"/>
              <w:rPr>
                <w:rFonts w:ascii="Arial" w:hAnsi="Arial" w:cs="Arial"/>
                <w:sz w:val="20"/>
                <w:szCs w:val="20"/>
              </w:rPr>
            </w:pPr>
          </w:p>
        </w:tc>
        <w:tc>
          <w:tcPr>
            <w:tcW w:w="1937" w:type="dxa"/>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937" w:type="dxa"/>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937" w:type="dxa"/>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r>
      <w:tr w:rsidR="00367AFF" w:rsidRPr="003E5BA3" w:rsidTr="00367AFF">
        <w:tc>
          <w:tcPr>
            <w:tcW w:w="3369" w:type="dxa"/>
          </w:tcPr>
          <w:p w:rsidR="00367AFF" w:rsidRPr="0058376E" w:rsidRDefault="00367AFF" w:rsidP="00367AFF">
            <w:pPr>
              <w:widowControl w:val="0"/>
              <w:autoSpaceDE w:val="0"/>
              <w:autoSpaceDN w:val="0"/>
              <w:adjustRightInd w:val="0"/>
              <w:spacing w:after="0" w:line="0" w:lineRule="atLeast"/>
              <w:rPr>
                <w:rFonts w:ascii="Arial" w:hAnsi="Arial" w:cs="Arial"/>
                <w:sz w:val="20"/>
                <w:szCs w:val="20"/>
              </w:rPr>
            </w:pPr>
            <w:r w:rsidRPr="00A43CEC">
              <w:rPr>
                <w:rFonts w:ascii="Arial" w:hAnsi="Arial" w:cs="Arial"/>
                <w:sz w:val="20"/>
                <w:szCs w:val="20"/>
              </w:rPr>
              <w:t>Number of vehi</w:t>
            </w:r>
            <w:r w:rsidRPr="0058376E">
              <w:rPr>
                <w:rFonts w:ascii="Arial" w:hAnsi="Arial" w:cs="Arial"/>
                <w:sz w:val="20"/>
                <w:szCs w:val="20"/>
              </w:rPr>
              <w:t>cles sold</w:t>
            </w:r>
          </w:p>
        </w:tc>
        <w:tc>
          <w:tcPr>
            <w:tcW w:w="1937" w:type="dxa"/>
          </w:tcPr>
          <w:p w:rsidR="00367AFF" w:rsidRPr="00767A96" w:rsidRDefault="00367AFF" w:rsidP="00367AFF">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79</w:t>
            </w:r>
          </w:p>
        </w:tc>
        <w:tc>
          <w:tcPr>
            <w:tcW w:w="1937" w:type="dxa"/>
          </w:tcPr>
          <w:p w:rsidR="00367AFF" w:rsidRPr="00767A96" w:rsidRDefault="00367AFF" w:rsidP="00367AFF">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48</w:t>
            </w:r>
          </w:p>
        </w:tc>
        <w:tc>
          <w:tcPr>
            <w:tcW w:w="1937" w:type="dxa"/>
          </w:tcPr>
          <w:p w:rsidR="00367AFF" w:rsidRPr="00767A96" w:rsidRDefault="00367AFF" w:rsidP="00367AFF">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50</w:t>
            </w:r>
          </w:p>
        </w:tc>
      </w:tr>
      <w:tr w:rsidR="00367AFF" w:rsidRPr="003E5BA3" w:rsidTr="00367AFF">
        <w:tc>
          <w:tcPr>
            <w:tcW w:w="3369" w:type="dxa"/>
          </w:tcPr>
          <w:p w:rsidR="00367AFF" w:rsidRPr="00A43CEC" w:rsidRDefault="00367AFF" w:rsidP="00367AFF">
            <w:pPr>
              <w:widowControl w:val="0"/>
              <w:autoSpaceDE w:val="0"/>
              <w:autoSpaceDN w:val="0"/>
              <w:adjustRightInd w:val="0"/>
              <w:spacing w:after="0" w:line="0" w:lineRule="atLeast"/>
              <w:rPr>
                <w:rFonts w:ascii="Arial" w:hAnsi="Arial" w:cs="Arial"/>
                <w:sz w:val="20"/>
                <w:szCs w:val="20"/>
              </w:rPr>
            </w:pP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p>
        </w:tc>
      </w:tr>
      <w:tr w:rsidR="00367AFF" w:rsidRPr="003E5BA3" w:rsidTr="00367AFF">
        <w:tc>
          <w:tcPr>
            <w:tcW w:w="3369" w:type="dxa"/>
          </w:tcPr>
          <w:p w:rsidR="00367AFF" w:rsidRPr="0058376E" w:rsidRDefault="00367AFF" w:rsidP="00367AFF">
            <w:pPr>
              <w:widowControl w:val="0"/>
              <w:autoSpaceDE w:val="0"/>
              <w:autoSpaceDN w:val="0"/>
              <w:adjustRightInd w:val="0"/>
              <w:spacing w:after="0" w:line="0" w:lineRule="atLeast"/>
              <w:rPr>
                <w:rFonts w:ascii="Arial" w:hAnsi="Arial" w:cs="Arial"/>
                <w:sz w:val="20"/>
                <w:szCs w:val="20"/>
              </w:rPr>
            </w:pPr>
            <w:r w:rsidRPr="00A43CEC">
              <w:rPr>
                <w:rFonts w:ascii="Arial" w:hAnsi="Arial" w:cs="Arial"/>
                <w:sz w:val="20"/>
                <w:szCs w:val="20"/>
              </w:rPr>
              <w:t xml:space="preserve">Number of </w:t>
            </w:r>
            <w:r w:rsidRPr="0058376E">
              <w:rPr>
                <w:rFonts w:ascii="Arial" w:hAnsi="Arial" w:cs="Arial"/>
                <w:sz w:val="20"/>
                <w:szCs w:val="20"/>
              </w:rPr>
              <w:t>3</w:t>
            </w:r>
            <w:r w:rsidRPr="0058376E">
              <w:rPr>
                <w:rFonts w:ascii="Arial" w:hAnsi="Arial" w:cs="Arial"/>
                <w:sz w:val="20"/>
                <w:szCs w:val="20"/>
                <w:vertAlign w:val="superscript"/>
              </w:rPr>
              <w:t>rd</w:t>
            </w:r>
            <w:r w:rsidRPr="0058376E">
              <w:rPr>
                <w:rFonts w:ascii="Arial" w:hAnsi="Arial" w:cs="Arial"/>
                <w:sz w:val="20"/>
                <w:szCs w:val="20"/>
              </w:rPr>
              <w:t xml:space="preserve"> party houses sold </w:t>
            </w: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b/>
                <w:i/>
                <w:sz w:val="20"/>
                <w:szCs w:val="20"/>
              </w:rPr>
            </w:pPr>
            <w:r w:rsidRPr="00767A96">
              <w:rPr>
                <w:rFonts w:ascii="Arial" w:hAnsi="Arial" w:cs="Arial"/>
                <w:b/>
                <w:sz w:val="20"/>
                <w:szCs w:val="20"/>
              </w:rPr>
              <w:t>8</w:t>
            </w: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3</w:t>
            </w: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0</w:t>
            </w:r>
          </w:p>
        </w:tc>
      </w:tr>
      <w:tr w:rsidR="00367AFF" w:rsidRPr="003E5BA3" w:rsidTr="00367AFF">
        <w:tc>
          <w:tcPr>
            <w:tcW w:w="3369" w:type="dxa"/>
          </w:tcPr>
          <w:p w:rsidR="00367AFF" w:rsidRPr="00A43CEC" w:rsidRDefault="00367AFF" w:rsidP="00367AFF">
            <w:pPr>
              <w:widowControl w:val="0"/>
              <w:autoSpaceDE w:val="0"/>
              <w:autoSpaceDN w:val="0"/>
              <w:adjustRightInd w:val="0"/>
              <w:spacing w:after="0" w:line="0" w:lineRule="atLeast"/>
              <w:rPr>
                <w:rFonts w:ascii="Arial" w:hAnsi="Arial" w:cs="Arial"/>
                <w:sz w:val="20"/>
                <w:szCs w:val="20"/>
              </w:rPr>
            </w:pP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p>
        </w:tc>
      </w:tr>
      <w:tr w:rsidR="00367AFF" w:rsidRPr="003E5BA3" w:rsidTr="00367AFF">
        <w:tc>
          <w:tcPr>
            <w:tcW w:w="3369" w:type="dxa"/>
          </w:tcPr>
          <w:p w:rsidR="00367AFF" w:rsidRPr="00A43CEC" w:rsidRDefault="00367AFF" w:rsidP="00367AFF">
            <w:pPr>
              <w:widowControl w:val="0"/>
              <w:autoSpaceDE w:val="0"/>
              <w:autoSpaceDN w:val="0"/>
              <w:adjustRightInd w:val="0"/>
              <w:spacing w:after="0" w:line="0" w:lineRule="atLeast"/>
              <w:rPr>
                <w:rFonts w:ascii="Arial" w:hAnsi="Arial" w:cs="Arial"/>
                <w:sz w:val="20"/>
                <w:szCs w:val="20"/>
              </w:rPr>
            </w:pPr>
            <w:proofErr w:type="spellStart"/>
            <w:r>
              <w:rPr>
                <w:rFonts w:ascii="Arial" w:hAnsi="Arial" w:cs="Arial"/>
                <w:sz w:val="20"/>
                <w:szCs w:val="20"/>
              </w:rPr>
              <w:t>I</w:t>
            </w:r>
            <w:r w:rsidRPr="00A43CEC">
              <w:rPr>
                <w:rFonts w:ascii="Arial" w:hAnsi="Arial" w:cs="Arial"/>
                <w:sz w:val="20"/>
                <w:szCs w:val="20"/>
              </w:rPr>
              <w:t>Ilex</w:t>
            </w:r>
            <w:proofErr w:type="spellEnd"/>
            <w:r w:rsidRPr="00A43CEC">
              <w:rPr>
                <w:rFonts w:ascii="Arial" w:hAnsi="Arial" w:cs="Arial"/>
                <w:sz w:val="20"/>
                <w:szCs w:val="20"/>
              </w:rPr>
              <w:t xml:space="preserve"> squid catch in tonnes </w:t>
            </w:r>
            <w:r>
              <w:rPr>
                <w:rFonts w:ascii="Arial" w:hAnsi="Arial" w:cs="Arial"/>
                <w:sz w:val="20"/>
                <w:szCs w:val="20"/>
              </w:rPr>
              <w:t>( 000’s)</w:t>
            </w: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188.0</w:t>
            </w:r>
          </w:p>
        </w:tc>
        <w:tc>
          <w:tcPr>
            <w:tcW w:w="1937"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58.2</w:t>
            </w:r>
          </w:p>
        </w:tc>
        <w:tc>
          <w:tcPr>
            <w:tcW w:w="1937" w:type="dxa"/>
            <w:vAlign w:val="bottom"/>
          </w:tcPr>
          <w:p w:rsidR="00367AFF" w:rsidRPr="00767A96" w:rsidRDefault="00B114C6"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67.3</w:t>
            </w:r>
          </w:p>
        </w:tc>
      </w:tr>
      <w:tr w:rsidR="00367AFF" w:rsidRPr="003E5BA3" w:rsidTr="00367AFF">
        <w:tc>
          <w:tcPr>
            <w:tcW w:w="3369" w:type="dxa"/>
          </w:tcPr>
          <w:p w:rsidR="00367AFF" w:rsidRPr="00A43CEC" w:rsidRDefault="00367AFF" w:rsidP="00367AFF">
            <w:pPr>
              <w:widowControl w:val="0"/>
              <w:autoSpaceDE w:val="0"/>
              <w:autoSpaceDN w:val="0"/>
              <w:adjustRightInd w:val="0"/>
              <w:spacing w:after="0" w:line="0" w:lineRule="atLeast"/>
              <w:rPr>
                <w:rFonts w:ascii="Arial" w:hAnsi="Arial" w:cs="Arial"/>
                <w:sz w:val="20"/>
                <w:szCs w:val="20"/>
              </w:rPr>
            </w:pPr>
          </w:p>
          <w:p w:rsidR="00367AFF" w:rsidRPr="00A43CEC" w:rsidRDefault="00367AFF" w:rsidP="00367AFF">
            <w:pPr>
              <w:widowControl w:val="0"/>
              <w:autoSpaceDE w:val="0"/>
              <w:autoSpaceDN w:val="0"/>
              <w:adjustRightInd w:val="0"/>
              <w:spacing w:after="0" w:line="0" w:lineRule="atLeast"/>
              <w:rPr>
                <w:rFonts w:ascii="Arial" w:hAnsi="Arial" w:cs="Arial"/>
                <w:sz w:val="20"/>
                <w:szCs w:val="20"/>
              </w:rPr>
            </w:pPr>
            <w:r w:rsidRPr="001A77D4">
              <w:rPr>
                <w:rFonts w:ascii="Arial" w:hAnsi="Arial" w:cs="Arial"/>
                <w:sz w:val="20"/>
                <w:szCs w:val="20"/>
              </w:rPr>
              <w:t>Cruise ship passengers</w:t>
            </w:r>
            <w:r>
              <w:rPr>
                <w:rFonts w:ascii="Arial" w:hAnsi="Arial" w:cs="Arial"/>
                <w:sz w:val="20"/>
                <w:szCs w:val="20"/>
              </w:rPr>
              <w:t xml:space="preserve"> ( 000’s ) </w:t>
            </w:r>
          </w:p>
        </w:tc>
        <w:tc>
          <w:tcPr>
            <w:tcW w:w="1937" w:type="dxa"/>
            <w:vAlign w:val="bottom"/>
          </w:tcPr>
          <w:p w:rsidR="00367AFF" w:rsidRPr="001A77D4" w:rsidRDefault="00367AFF" w:rsidP="00367AFF">
            <w:pPr>
              <w:widowControl w:val="0"/>
              <w:autoSpaceDE w:val="0"/>
              <w:autoSpaceDN w:val="0"/>
              <w:adjustRightInd w:val="0"/>
              <w:spacing w:after="0" w:line="0" w:lineRule="atLeast"/>
              <w:jc w:val="right"/>
              <w:rPr>
                <w:rFonts w:ascii="Arial" w:hAnsi="Arial" w:cs="Arial"/>
                <w:i/>
                <w:sz w:val="20"/>
                <w:szCs w:val="20"/>
              </w:rPr>
            </w:pPr>
            <w:r w:rsidRPr="0058376E">
              <w:rPr>
                <w:rFonts w:ascii="Arial" w:hAnsi="Arial" w:cs="Arial"/>
                <w:sz w:val="20"/>
                <w:szCs w:val="20"/>
              </w:rPr>
              <w:t>39</w:t>
            </w:r>
            <w:r>
              <w:rPr>
                <w:rFonts w:ascii="Arial" w:hAnsi="Arial" w:cs="Arial"/>
                <w:sz w:val="20"/>
                <w:szCs w:val="20"/>
              </w:rPr>
              <w:t>.5</w:t>
            </w:r>
          </w:p>
        </w:tc>
        <w:tc>
          <w:tcPr>
            <w:tcW w:w="1937" w:type="dxa"/>
            <w:vAlign w:val="bottom"/>
          </w:tcPr>
          <w:p w:rsidR="00367AFF" w:rsidRPr="00DB7363" w:rsidRDefault="00367AFF" w:rsidP="00367AFF">
            <w:pPr>
              <w:widowControl w:val="0"/>
              <w:autoSpaceDE w:val="0"/>
              <w:autoSpaceDN w:val="0"/>
              <w:adjustRightInd w:val="0"/>
              <w:spacing w:after="0" w:line="0" w:lineRule="atLeast"/>
              <w:jc w:val="right"/>
              <w:rPr>
                <w:rFonts w:ascii="Arial" w:hAnsi="Arial" w:cs="Arial"/>
                <w:i/>
                <w:sz w:val="20"/>
                <w:szCs w:val="20"/>
              </w:rPr>
            </w:pPr>
            <w:r w:rsidRPr="0058376E">
              <w:rPr>
                <w:rFonts w:ascii="Arial" w:hAnsi="Arial" w:cs="Arial"/>
                <w:sz w:val="20"/>
                <w:szCs w:val="20"/>
              </w:rPr>
              <w:t>29</w:t>
            </w:r>
            <w:r>
              <w:rPr>
                <w:rFonts w:ascii="Arial" w:hAnsi="Arial" w:cs="Arial"/>
                <w:sz w:val="20"/>
                <w:szCs w:val="20"/>
              </w:rPr>
              <w:t>.6</w:t>
            </w:r>
          </w:p>
        </w:tc>
        <w:tc>
          <w:tcPr>
            <w:tcW w:w="1937" w:type="dxa"/>
            <w:vAlign w:val="bottom"/>
          </w:tcPr>
          <w:p w:rsidR="00367AFF" w:rsidRPr="003E5BA3" w:rsidRDefault="00367AFF" w:rsidP="00367AFF">
            <w:pPr>
              <w:widowControl w:val="0"/>
              <w:autoSpaceDE w:val="0"/>
              <w:autoSpaceDN w:val="0"/>
              <w:adjustRightInd w:val="0"/>
              <w:spacing w:after="0" w:line="0" w:lineRule="atLeast"/>
              <w:jc w:val="right"/>
              <w:rPr>
                <w:rFonts w:ascii="Arial" w:hAnsi="Arial" w:cs="Arial"/>
                <w:i/>
                <w:sz w:val="20"/>
                <w:szCs w:val="20"/>
              </w:rPr>
            </w:pPr>
            <w:r w:rsidRPr="0058376E">
              <w:rPr>
                <w:rFonts w:ascii="Arial" w:hAnsi="Arial" w:cs="Arial"/>
                <w:sz w:val="20"/>
                <w:szCs w:val="20"/>
              </w:rPr>
              <w:t>35</w:t>
            </w:r>
            <w:r>
              <w:rPr>
                <w:rFonts w:ascii="Arial" w:hAnsi="Arial" w:cs="Arial"/>
                <w:sz w:val="20"/>
                <w:szCs w:val="20"/>
              </w:rPr>
              <w:t>.2</w:t>
            </w:r>
          </w:p>
        </w:tc>
      </w:tr>
    </w:tbl>
    <w:p w:rsidR="00367AFF" w:rsidRDefault="00367AFF" w:rsidP="00367AFF">
      <w:pPr>
        <w:widowControl w:val="0"/>
        <w:autoSpaceDE w:val="0"/>
        <w:autoSpaceDN w:val="0"/>
        <w:adjustRightInd w:val="0"/>
        <w:rPr>
          <w:rFonts w:ascii="Arial" w:hAnsi="Arial" w:cs="Arial"/>
          <w:sz w:val="20"/>
          <w:szCs w:val="20"/>
        </w:rPr>
      </w:pPr>
    </w:p>
    <w:p w:rsidR="00367AFF" w:rsidRPr="00E131E9" w:rsidRDefault="00367AFF" w:rsidP="00367AFF">
      <w:pPr>
        <w:widowControl w:val="0"/>
        <w:autoSpaceDE w:val="0"/>
        <w:autoSpaceDN w:val="0"/>
        <w:adjustRightInd w:val="0"/>
        <w:rPr>
          <w:rFonts w:ascii="Arial" w:hAnsi="Arial" w:cs="Arial"/>
          <w:sz w:val="20"/>
          <w:szCs w:val="20"/>
        </w:rPr>
      </w:pPr>
      <w:r w:rsidRPr="00E131E9">
        <w:rPr>
          <w:rFonts w:ascii="Arial" w:hAnsi="Arial" w:cs="Arial"/>
          <w:b/>
          <w:bCs/>
          <w:sz w:val="20"/>
          <w:szCs w:val="20"/>
        </w:rPr>
        <w:t>Portsmouth Harbour Ferry Company (“PHFC”)</w:t>
      </w:r>
    </w:p>
    <w:p w:rsidR="00367AFF" w:rsidRPr="00367AFF" w:rsidRDefault="008824D2" w:rsidP="00367A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During the period,</w:t>
      </w:r>
      <w:r w:rsidR="00367AFF" w:rsidRPr="00E131E9">
        <w:rPr>
          <w:rFonts w:ascii="Arial" w:hAnsi="Arial" w:cs="Arial"/>
          <w:sz w:val="20"/>
          <w:szCs w:val="20"/>
        </w:rPr>
        <w:t xml:space="preserve"> </w:t>
      </w:r>
      <w:r w:rsidR="00367AFF">
        <w:rPr>
          <w:rFonts w:ascii="Arial" w:hAnsi="Arial" w:cs="Arial"/>
          <w:sz w:val="20"/>
          <w:szCs w:val="20"/>
        </w:rPr>
        <w:t>there was a significant improvement in the underlying trend as passenger numbers fell by 1.6%, compared to the 8.</w:t>
      </w:r>
      <w:r w:rsidR="00B114C6">
        <w:rPr>
          <w:rFonts w:ascii="Arial" w:hAnsi="Arial" w:cs="Arial"/>
          <w:sz w:val="20"/>
          <w:szCs w:val="20"/>
        </w:rPr>
        <w:t>9</w:t>
      </w:r>
      <w:r w:rsidR="00367AFF">
        <w:rPr>
          <w:rFonts w:ascii="Arial" w:hAnsi="Arial" w:cs="Arial"/>
          <w:sz w:val="20"/>
          <w:szCs w:val="20"/>
        </w:rPr>
        <w:t xml:space="preserve">% decline seen in the prior year.  Overall total ferry revenues increased by 1.2% </w:t>
      </w:r>
      <w:r w:rsidR="00367AFF" w:rsidRPr="00E131E9">
        <w:rPr>
          <w:rFonts w:ascii="Arial" w:hAnsi="Arial" w:cs="Arial"/>
          <w:sz w:val="20"/>
          <w:szCs w:val="20"/>
        </w:rPr>
        <w:t>and operating profits, (before pont</w:t>
      </w:r>
      <w:r w:rsidR="00367AFF">
        <w:rPr>
          <w:rFonts w:ascii="Arial" w:hAnsi="Arial" w:cs="Arial"/>
          <w:sz w:val="20"/>
          <w:szCs w:val="20"/>
        </w:rPr>
        <w:t>oon lease finance costs of £0.23 million) in</w:t>
      </w:r>
      <w:r w:rsidR="00367AFF" w:rsidRPr="00E131E9">
        <w:rPr>
          <w:rFonts w:ascii="Arial" w:hAnsi="Arial" w:cs="Arial"/>
          <w:sz w:val="20"/>
          <w:szCs w:val="20"/>
        </w:rPr>
        <w:t xml:space="preserve">creased </w:t>
      </w:r>
      <w:r w:rsidR="00367AFF">
        <w:rPr>
          <w:rFonts w:ascii="Arial" w:hAnsi="Arial" w:cs="Arial"/>
          <w:sz w:val="20"/>
          <w:szCs w:val="20"/>
        </w:rPr>
        <w:t xml:space="preserve">marginally to </w:t>
      </w:r>
      <w:r w:rsidR="00367AFF" w:rsidRPr="00E131E9">
        <w:rPr>
          <w:rFonts w:ascii="Arial" w:hAnsi="Arial" w:cs="Arial"/>
          <w:sz w:val="20"/>
          <w:szCs w:val="20"/>
        </w:rPr>
        <w:t>£</w:t>
      </w:r>
      <w:r w:rsidR="00367AFF">
        <w:rPr>
          <w:rFonts w:ascii="Arial" w:hAnsi="Arial" w:cs="Arial"/>
          <w:sz w:val="20"/>
          <w:szCs w:val="20"/>
        </w:rPr>
        <w:t>1.01</w:t>
      </w:r>
      <w:r w:rsidR="00367AFF" w:rsidRPr="00E131E9">
        <w:rPr>
          <w:rFonts w:ascii="Arial" w:hAnsi="Arial" w:cs="Arial"/>
          <w:sz w:val="20"/>
          <w:szCs w:val="20"/>
        </w:rPr>
        <w:t xml:space="preserve"> million </w:t>
      </w:r>
      <w:r w:rsidR="00367AFF" w:rsidRPr="00E131E9">
        <w:rPr>
          <w:rFonts w:ascii="Arial" w:hAnsi="Arial" w:cs="Arial"/>
          <w:i/>
          <w:iCs/>
          <w:sz w:val="20"/>
          <w:szCs w:val="20"/>
        </w:rPr>
        <w:t>(201</w:t>
      </w:r>
      <w:r w:rsidR="00367AFF">
        <w:rPr>
          <w:rFonts w:ascii="Arial" w:hAnsi="Arial" w:cs="Arial"/>
          <w:i/>
          <w:iCs/>
          <w:sz w:val="20"/>
          <w:szCs w:val="20"/>
        </w:rPr>
        <w:t>3</w:t>
      </w:r>
      <w:r w:rsidR="00367AFF" w:rsidRPr="00E131E9">
        <w:rPr>
          <w:rFonts w:ascii="Arial" w:hAnsi="Arial" w:cs="Arial"/>
          <w:i/>
          <w:iCs/>
          <w:sz w:val="20"/>
          <w:szCs w:val="20"/>
        </w:rPr>
        <w:t>: £</w:t>
      </w:r>
      <w:r w:rsidR="00367AFF">
        <w:rPr>
          <w:rFonts w:ascii="Arial" w:hAnsi="Arial" w:cs="Arial"/>
          <w:i/>
          <w:iCs/>
          <w:sz w:val="20"/>
          <w:szCs w:val="20"/>
        </w:rPr>
        <w:t xml:space="preserve">0.98 </w:t>
      </w:r>
      <w:r w:rsidR="00367AFF" w:rsidRPr="00E131E9">
        <w:rPr>
          <w:rFonts w:ascii="Arial" w:hAnsi="Arial" w:cs="Arial"/>
          <w:i/>
          <w:iCs/>
          <w:sz w:val="20"/>
          <w:szCs w:val="20"/>
        </w:rPr>
        <w:t>million)</w:t>
      </w:r>
      <w:r w:rsidR="00367AFF" w:rsidRPr="00E131E9">
        <w:rPr>
          <w:rFonts w:ascii="Arial" w:hAnsi="Arial" w:cs="Arial"/>
          <w:sz w:val="20"/>
          <w:szCs w:val="20"/>
        </w:rPr>
        <w:t>.</w:t>
      </w:r>
    </w:p>
    <w:tbl>
      <w:tblPr>
        <w:tblW w:w="0" w:type="auto"/>
        <w:tblInd w:w="220" w:type="dxa"/>
        <w:tblLayout w:type="fixed"/>
        <w:tblCellMar>
          <w:left w:w="0" w:type="dxa"/>
          <w:right w:w="0" w:type="dxa"/>
        </w:tblCellMar>
        <w:tblLook w:val="0000" w:firstRow="0" w:lastRow="0" w:firstColumn="0" w:lastColumn="0" w:noHBand="0" w:noVBand="0"/>
      </w:tblPr>
      <w:tblGrid>
        <w:gridCol w:w="4033"/>
        <w:gridCol w:w="1417"/>
        <w:gridCol w:w="993"/>
        <w:gridCol w:w="1275"/>
      </w:tblGrid>
      <w:tr w:rsidR="00367AFF" w:rsidRPr="00E131E9" w:rsidTr="00367AFF">
        <w:trPr>
          <w:trHeight w:val="163"/>
        </w:trPr>
        <w:tc>
          <w:tcPr>
            <w:tcW w:w="4033"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r w:rsidRPr="00E131E9">
              <w:rPr>
                <w:rFonts w:ascii="Arial" w:hAnsi="Arial" w:cs="Arial"/>
                <w:sz w:val="20"/>
                <w:szCs w:val="20"/>
              </w:rPr>
              <w:t>PHFC Operating results</w:t>
            </w:r>
          </w:p>
        </w:tc>
        <w:tc>
          <w:tcPr>
            <w:tcW w:w="1417"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993"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r>
      <w:tr w:rsidR="00367AFF" w:rsidRPr="00E131E9" w:rsidTr="00367AFF">
        <w:trPr>
          <w:trHeight w:val="325"/>
        </w:trPr>
        <w:tc>
          <w:tcPr>
            <w:tcW w:w="4033" w:type="dxa"/>
            <w:vMerge w:val="restart"/>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Year ended 31 March</w:t>
            </w:r>
          </w:p>
        </w:tc>
        <w:tc>
          <w:tcPr>
            <w:tcW w:w="1417" w:type="dxa"/>
            <w:vMerge w:val="restart"/>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right="105"/>
              <w:jc w:val="right"/>
              <w:rPr>
                <w:rFonts w:ascii="Arial" w:hAnsi="Arial" w:cs="Arial"/>
                <w:sz w:val="20"/>
                <w:szCs w:val="20"/>
              </w:rPr>
            </w:pPr>
            <w:r>
              <w:rPr>
                <w:rFonts w:ascii="Arial" w:hAnsi="Arial" w:cs="Arial"/>
                <w:sz w:val="20"/>
                <w:szCs w:val="20"/>
              </w:rPr>
              <w:t>2014</w:t>
            </w:r>
          </w:p>
        </w:tc>
        <w:tc>
          <w:tcPr>
            <w:tcW w:w="993" w:type="dxa"/>
            <w:vMerge w:val="restart"/>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right="105"/>
              <w:jc w:val="right"/>
              <w:rPr>
                <w:rFonts w:ascii="Arial" w:hAnsi="Arial" w:cs="Arial"/>
                <w:sz w:val="20"/>
                <w:szCs w:val="20"/>
              </w:rPr>
            </w:pPr>
            <w:r w:rsidRPr="00E131E9">
              <w:rPr>
                <w:rFonts w:ascii="Arial" w:hAnsi="Arial" w:cs="Arial"/>
                <w:sz w:val="20"/>
                <w:szCs w:val="20"/>
              </w:rPr>
              <w:t>2013</w:t>
            </w:r>
          </w:p>
        </w:tc>
        <w:tc>
          <w:tcPr>
            <w:tcW w:w="1275"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right="25"/>
              <w:jc w:val="right"/>
              <w:rPr>
                <w:rFonts w:ascii="Arial" w:hAnsi="Arial" w:cs="Arial"/>
                <w:sz w:val="20"/>
                <w:szCs w:val="20"/>
              </w:rPr>
            </w:pPr>
          </w:p>
        </w:tc>
      </w:tr>
      <w:tr w:rsidR="00367AFF" w:rsidRPr="00E131E9" w:rsidTr="00367AFF">
        <w:trPr>
          <w:trHeight w:val="30"/>
        </w:trPr>
        <w:tc>
          <w:tcPr>
            <w:tcW w:w="4033" w:type="dxa"/>
            <w:vMerge/>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417" w:type="dxa"/>
            <w:vMerge/>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993" w:type="dxa"/>
            <w:vMerge/>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jc w:val="right"/>
              <w:rPr>
                <w:rFonts w:ascii="Arial" w:hAnsi="Arial" w:cs="Arial"/>
                <w:sz w:val="20"/>
                <w:szCs w:val="20"/>
              </w:rPr>
            </w:pPr>
            <w:r w:rsidRPr="00E131E9">
              <w:rPr>
                <w:rFonts w:ascii="Arial" w:hAnsi="Arial" w:cs="Arial"/>
                <w:i/>
                <w:iCs/>
                <w:sz w:val="20"/>
                <w:szCs w:val="20"/>
              </w:rPr>
              <w:t>Change</w:t>
            </w:r>
          </w:p>
        </w:tc>
      </w:tr>
      <w:tr w:rsidR="00367AFF" w:rsidRPr="00E131E9" w:rsidTr="00367AFF">
        <w:trPr>
          <w:trHeight w:val="180"/>
        </w:trPr>
        <w:tc>
          <w:tcPr>
            <w:tcW w:w="403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417"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ind w:right="105"/>
              <w:jc w:val="right"/>
              <w:rPr>
                <w:rFonts w:ascii="Arial" w:hAnsi="Arial" w:cs="Arial"/>
                <w:sz w:val="20"/>
                <w:szCs w:val="20"/>
              </w:rPr>
            </w:pPr>
            <w:r w:rsidRPr="00E131E9">
              <w:rPr>
                <w:rFonts w:ascii="Arial" w:hAnsi="Arial" w:cs="Arial"/>
                <w:sz w:val="20"/>
                <w:szCs w:val="20"/>
              </w:rPr>
              <w:t>£m</w:t>
            </w: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ind w:right="105"/>
              <w:jc w:val="right"/>
              <w:rPr>
                <w:rFonts w:ascii="Arial" w:hAnsi="Arial" w:cs="Arial"/>
                <w:sz w:val="20"/>
                <w:szCs w:val="20"/>
              </w:rPr>
            </w:pPr>
            <w:r w:rsidRPr="00E131E9">
              <w:rPr>
                <w:rFonts w:ascii="Arial" w:hAnsi="Arial" w:cs="Arial"/>
                <w:sz w:val="20"/>
                <w:szCs w:val="20"/>
              </w:rPr>
              <w:t>£m</w:t>
            </w:r>
          </w:p>
        </w:tc>
        <w:tc>
          <w:tcPr>
            <w:tcW w:w="1275"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ind w:right="25"/>
              <w:jc w:val="right"/>
              <w:rPr>
                <w:rFonts w:ascii="Arial" w:hAnsi="Arial" w:cs="Arial"/>
                <w:sz w:val="20"/>
                <w:szCs w:val="20"/>
              </w:rPr>
            </w:pPr>
            <w:r w:rsidRPr="00E131E9">
              <w:rPr>
                <w:rFonts w:ascii="Arial" w:hAnsi="Arial" w:cs="Arial"/>
                <w:i/>
                <w:iCs/>
                <w:sz w:val="20"/>
                <w:szCs w:val="20"/>
              </w:rPr>
              <w:t>%</w:t>
            </w:r>
          </w:p>
        </w:tc>
      </w:tr>
      <w:tr w:rsidR="00367AFF" w:rsidRPr="00E131E9" w:rsidTr="00367AFF">
        <w:trPr>
          <w:trHeight w:val="407"/>
        </w:trPr>
        <w:tc>
          <w:tcPr>
            <w:tcW w:w="4033"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i/>
                <w:iCs/>
                <w:sz w:val="20"/>
                <w:szCs w:val="20"/>
              </w:rPr>
              <w:t>Revenues</w:t>
            </w:r>
          </w:p>
        </w:tc>
        <w:tc>
          <w:tcPr>
            <w:tcW w:w="1417"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993"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r>
      <w:tr w:rsidR="00367AFF" w:rsidRPr="00E131E9" w:rsidTr="00367AFF">
        <w:trPr>
          <w:trHeight w:val="284"/>
        </w:trPr>
        <w:tc>
          <w:tcPr>
            <w:tcW w:w="4033"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Ferry fares</w:t>
            </w:r>
          </w:p>
        </w:tc>
        <w:tc>
          <w:tcPr>
            <w:tcW w:w="1417"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right="105"/>
              <w:jc w:val="right"/>
              <w:rPr>
                <w:rFonts w:ascii="Arial" w:hAnsi="Arial" w:cs="Arial"/>
                <w:sz w:val="20"/>
                <w:szCs w:val="20"/>
              </w:rPr>
            </w:pPr>
            <w:r>
              <w:rPr>
                <w:rFonts w:ascii="Arial" w:hAnsi="Arial" w:cs="Arial"/>
                <w:sz w:val="20"/>
                <w:szCs w:val="20"/>
              </w:rPr>
              <w:t>3.95</w:t>
            </w:r>
          </w:p>
        </w:tc>
        <w:tc>
          <w:tcPr>
            <w:tcW w:w="993" w:type="dxa"/>
            <w:tcBorders>
              <w:top w:val="nil"/>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right="105"/>
              <w:jc w:val="right"/>
              <w:rPr>
                <w:rFonts w:ascii="Arial" w:hAnsi="Arial" w:cs="Arial"/>
                <w:sz w:val="20"/>
                <w:szCs w:val="20"/>
              </w:rPr>
            </w:pPr>
            <w:r w:rsidRPr="00E131E9">
              <w:rPr>
                <w:rFonts w:ascii="Arial" w:hAnsi="Arial" w:cs="Arial"/>
                <w:sz w:val="20"/>
                <w:szCs w:val="20"/>
              </w:rPr>
              <w:t>3.89</w:t>
            </w:r>
          </w:p>
        </w:tc>
        <w:tc>
          <w:tcPr>
            <w:tcW w:w="1275" w:type="dxa"/>
            <w:tcBorders>
              <w:top w:val="nil"/>
              <w:left w:val="nil"/>
              <w:bottom w:val="nil"/>
              <w:right w:val="nil"/>
            </w:tcBorders>
            <w:vAlign w:val="bottom"/>
          </w:tcPr>
          <w:p w:rsidR="00367AFF" w:rsidRPr="003E44EB" w:rsidRDefault="00367AFF" w:rsidP="00367AFF">
            <w:pPr>
              <w:widowControl w:val="0"/>
              <w:autoSpaceDE w:val="0"/>
              <w:autoSpaceDN w:val="0"/>
              <w:adjustRightInd w:val="0"/>
              <w:spacing w:after="0" w:line="0" w:lineRule="atLeast"/>
              <w:ind w:right="25"/>
              <w:jc w:val="right"/>
              <w:rPr>
                <w:rFonts w:ascii="Arial" w:hAnsi="Arial" w:cs="Arial"/>
                <w:i/>
                <w:sz w:val="20"/>
                <w:szCs w:val="20"/>
              </w:rPr>
            </w:pPr>
            <w:r w:rsidRPr="003E44EB">
              <w:rPr>
                <w:rFonts w:ascii="Arial" w:hAnsi="Arial" w:cs="Arial"/>
                <w:i/>
                <w:sz w:val="20"/>
                <w:szCs w:val="20"/>
              </w:rPr>
              <w:t>1.5%</w:t>
            </w:r>
          </w:p>
        </w:tc>
      </w:tr>
      <w:tr w:rsidR="00367AFF" w:rsidRPr="00E131E9" w:rsidTr="00367AFF">
        <w:trPr>
          <w:trHeight w:val="284"/>
        </w:trPr>
        <w:tc>
          <w:tcPr>
            <w:tcW w:w="4033"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Cruising and Other revenue</w:t>
            </w:r>
          </w:p>
        </w:tc>
        <w:tc>
          <w:tcPr>
            <w:tcW w:w="1417"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right="105"/>
              <w:jc w:val="right"/>
              <w:rPr>
                <w:rFonts w:ascii="Arial" w:hAnsi="Arial" w:cs="Arial"/>
                <w:sz w:val="20"/>
                <w:szCs w:val="20"/>
              </w:rPr>
            </w:pPr>
            <w:r>
              <w:rPr>
                <w:rFonts w:ascii="Arial" w:hAnsi="Arial" w:cs="Arial"/>
                <w:sz w:val="20"/>
                <w:szCs w:val="20"/>
              </w:rPr>
              <w:t>0.17</w:t>
            </w:r>
          </w:p>
        </w:tc>
        <w:tc>
          <w:tcPr>
            <w:tcW w:w="993"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right="105"/>
              <w:jc w:val="right"/>
              <w:rPr>
                <w:rFonts w:ascii="Arial" w:hAnsi="Arial" w:cs="Arial"/>
                <w:sz w:val="20"/>
                <w:szCs w:val="20"/>
              </w:rPr>
            </w:pPr>
            <w:r w:rsidRPr="00E131E9">
              <w:rPr>
                <w:rFonts w:ascii="Arial" w:hAnsi="Arial" w:cs="Arial"/>
                <w:sz w:val="20"/>
                <w:szCs w:val="20"/>
              </w:rPr>
              <w:t>0.19</w:t>
            </w:r>
          </w:p>
        </w:tc>
        <w:tc>
          <w:tcPr>
            <w:tcW w:w="1275" w:type="dxa"/>
            <w:tcBorders>
              <w:top w:val="nil"/>
              <w:left w:val="nil"/>
              <w:right w:val="nil"/>
            </w:tcBorders>
            <w:vAlign w:val="bottom"/>
          </w:tcPr>
          <w:p w:rsidR="00367AFF" w:rsidRPr="003E44EB" w:rsidRDefault="00367AFF" w:rsidP="00367AFF">
            <w:pPr>
              <w:widowControl w:val="0"/>
              <w:autoSpaceDE w:val="0"/>
              <w:autoSpaceDN w:val="0"/>
              <w:adjustRightInd w:val="0"/>
              <w:spacing w:after="0" w:line="0" w:lineRule="atLeast"/>
              <w:ind w:right="25"/>
              <w:jc w:val="right"/>
              <w:rPr>
                <w:rFonts w:ascii="Arial" w:hAnsi="Arial" w:cs="Arial"/>
                <w:i/>
                <w:sz w:val="20"/>
                <w:szCs w:val="20"/>
              </w:rPr>
            </w:pPr>
            <w:r w:rsidRPr="003E44EB">
              <w:rPr>
                <w:rFonts w:ascii="Arial" w:hAnsi="Arial" w:cs="Arial"/>
                <w:i/>
                <w:sz w:val="20"/>
                <w:szCs w:val="20"/>
              </w:rPr>
              <w:t>-5.4%</w:t>
            </w:r>
          </w:p>
        </w:tc>
      </w:tr>
      <w:tr w:rsidR="00367AFF" w:rsidRPr="00E131E9" w:rsidTr="00367AFF">
        <w:trPr>
          <w:trHeight w:val="25"/>
        </w:trPr>
        <w:tc>
          <w:tcPr>
            <w:tcW w:w="403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417"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0" w:lineRule="atLeast"/>
              <w:rPr>
                <w:rFonts w:ascii="Arial" w:hAnsi="Arial" w:cs="Arial"/>
                <w:i/>
                <w:sz w:val="20"/>
                <w:szCs w:val="20"/>
              </w:rPr>
            </w:pPr>
          </w:p>
        </w:tc>
      </w:tr>
      <w:tr w:rsidR="00367AFF" w:rsidRPr="00E131E9" w:rsidTr="00367AFF">
        <w:trPr>
          <w:trHeight w:val="267"/>
        </w:trPr>
        <w:tc>
          <w:tcPr>
            <w:tcW w:w="4033" w:type="dxa"/>
            <w:tcBorders>
              <w:top w:val="single" w:sz="4" w:space="0" w:color="auto"/>
              <w:left w:val="nil"/>
              <w:right w:val="nil"/>
            </w:tcBorders>
            <w:vAlign w:val="bottom"/>
          </w:tcPr>
          <w:p w:rsidR="00367AFF" w:rsidRPr="00E131E9" w:rsidRDefault="00367AFF" w:rsidP="00367AFF">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Total PHFC revenue</w:t>
            </w:r>
          </w:p>
        </w:tc>
        <w:tc>
          <w:tcPr>
            <w:tcW w:w="1417" w:type="dxa"/>
            <w:tcBorders>
              <w:top w:val="single" w:sz="4" w:space="0" w:color="auto"/>
              <w:left w:val="nil"/>
              <w:right w:val="nil"/>
            </w:tcBorders>
            <w:vAlign w:val="bottom"/>
          </w:tcPr>
          <w:p w:rsidR="00367AFF" w:rsidRPr="00E131E9" w:rsidRDefault="00367AFF" w:rsidP="00367AFF">
            <w:pPr>
              <w:widowControl w:val="0"/>
              <w:autoSpaceDE w:val="0"/>
              <w:autoSpaceDN w:val="0"/>
              <w:adjustRightInd w:val="0"/>
              <w:spacing w:after="0" w:line="0" w:lineRule="atLeast"/>
              <w:ind w:right="105"/>
              <w:jc w:val="right"/>
              <w:rPr>
                <w:rFonts w:ascii="Arial" w:hAnsi="Arial" w:cs="Arial"/>
                <w:sz w:val="20"/>
                <w:szCs w:val="20"/>
              </w:rPr>
            </w:pPr>
            <w:r>
              <w:rPr>
                <w:rFonts w:ascii="Arial" w:hAnsi="Arial" w:cs="Arial"/>
                <w:sz w:val="20"/>
                <w:szCs w:val="20"/>
              </w:rPr>
              <w:t>4.12</w:t>
            </w:r>
          </w:p>
        </w:tc>
        <w:tc>
          <w:tcPr>
            <w:tcW w:w="993" w:type="dxa"/>
            <w:tcBorders>
              <w:top w:val="single" w:sz="4" w:space="0" w:color="auto"/>
              <w:left w:val="nil"/>
              <w:right w:val="nil"/>
            </w:tcBorders>
            <w:vAlign w:val="bottom"/>
          </w:tcPr>
          <w:p w:rsidR="00367AFF" w:rsidRPr="00E131E9" w:rsidRDefault="00367AFF" w:rsidP="00367AFF">
            <w:pPr>
              <w:widowControl w:val="0"/>
              <w:autoSpaceDE w:val="0"/>
              <w:autoSpaceDN w:val="0"/>
              <w:adjustRightInd w:val="0"/>
              <w:spacing w:after="0" w:line="0" w:lineRule="atLeast"/>
              <w:ind w:right="105"/>
              <w:jc w:val="right"/>
              <w:rPr>
                <w:rFonts w:ascii="Arial" w:hAnsi="Arial" w:cs="Arial"/>
                <w:sz w:val="20"/>
                <w:szCs w:val="20"/>
              </w:rPr>
            </w:pPr>
            <w:r w:rsidRPr="00E131E9">
              <w:rPr>
                <w:rFonts w:ascii="Arial" w:hAnsi="Arial" w:cs="Arial"/>
                <w:sz w:val="20"/>
                <w:szCs w:val="20"/>
              </w:rPr>
              <w:t>4.08</w:t>
            </w:r>
          </w:p>
        </w:tc>
        <w:tc>
          <w:tcPr>
            <w:tcW w:w="1275" w:type="dxa"/>
            <w:tcBorders>
              <w:top w:val="single" w:sz="4" w:space="0" w:color="auto"/>
              <w:left w:val="nil"/>
              <w:right w:val="nil"/>
            </w:tcBorders>
            <w:vAlign w:val="bottom"/>
          </w:tcPr>
          <w:p w:rsidR="00367AFF" w:rsidRPr="003E44EB" w:rsidRDefault="00367AFF" w:rsidP="00367AFF">
            <w:pPr>
              <w:widowControl w:val="0"/>
              <w:autoSpaceDE w:val="0"/>
              <w:autoSpaceDN w:val="0"/>
              <w:adjustRightInd w:val="0"/>
              <w:spacing w:after="0" w:line="0" w:lineRule="atLeast"/>
              <w:ind w:right="25"/>
              <w:jc w:val="right"/>
              <w:rPr>
                <w:rFonts w:ascii="Arial" w:hAnsi="Arial" w:cs="Arial"/>
                <w:i/>
                <w:sz w:val="20"/>
                <w:szCs w:val="20"/>
              </w:rPr>
            </w:pPr>
            <w:r w:rsidRPr="003E44EB">
              <w:rPr>
                <w:rFonts w:ascii="Arial" w:hAnsi="Arial" w:cs="Arial"/>
                <w:i/>
                <w:sz w:val="20"/>
                <w:szCs w:val="20"/>
              </w:rPr>
              <w:t>1.2%</w:t>
            </w:r>
          </w:p>
        </w:tc>
      </w:tr>
      <w:tr w:rsidR="00367AFF" w:rsidRPr="00E131E9" w:rsidTr="00367AFF">
        <w:trPr>
          <w:trHeight w:val="25"/>
        </w:trPr>
        <w:tc>
          <w:tcPr>
            <w:tcW w:w="403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417"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0" w:lineRule="atLeast"/>
              <w:rPr>
                <w:rFonts w:ascii="Arial" w:hAnsi="Arial" w:cs="Arial"/>
                <w:i/>
                <w:sz w:val="20"/>
                <w:szCs w:val="20"/>
              </w:rPr>
            </w:pPr>
          </w:p>
        </w:tc>
      </w:tr>
      <w:tr w:rsidR="00367AFF" w:rsidRPr="00E131E9" w:rsidTr="00367AFF">
        <w:trPr>
          <w:trHeight w:val="294"/>
        </w:trPr>
        <w:tc>
          <w:tcPr>
            <w:tcW w:w="4033"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left="20"/>
              <w:rPr>
                <w:rFonts w:ascii="Arial" w:hAnsi="Arial" w:cs="Arial"/>
                <w:sz w:val="20"/>
                <w:szCs w:val="20"/>
              </w:rPr>
            </w:pPr>
          </w:p>
        </w:tc>
        <w:tc>
          <w:tcPr>
            <w:tcW w:w="1417"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993"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single" w:sz="4" w:space="0" w:color="auto"/>
              <w:left w:val="nil"/>
              <w:bottom w:val="nil"/>
              <w:right w:val="nil"/>
            </w:tcBorders>
            <w:vAlign w:val="bottom"/>
          </w:tcPr>
          <w:p w:rsidR="00367AFF" w:rsidRPr="003E44EB" w:rsidRDefault="00367AFF" w:rsidP="00367AFF">
            <w:pPr>
              <w:widowControl w:val="0"/>
              <w:autoSpaceDE w:val="0"/>
              <w:autoSpaceDN w:val="0"/>
              <w:adjustRightInd w:val="0"/>
              <w:spacing w:after="0" w:line="0" w:lineRule="atLeast"/>
              <w:rPr>
                <w:rFonts w:ascii="Arial" w:hAnsi="Arial" w:cs="Arial"/>
                <w:i/>
                <w:sz w:val="20"/>
                <w:szCs w:val="20"/>
              </w:rPr>
            </w:pPr>
          </w:p>
        </w:tc>
      </w:tr>
      <w:tr w:rsidR="00367AFF" w:rsidRPr="00E131E9" w:rsidTr="00367AFF">
        <w:trPr>
          <w:trHeight w:val="200"/>
        </w:trPr>
        <w:tc>
          <w:tcPr>
            <w:tcW w:w="4033"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Underlying PHFC operating profit</w:t>
            </w:r>
          </w:p>
        </w:tc>
        <w:tc>
          <w:tcPr>
            <w:tcW w:w="1417"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right="25"/>
              <w:jc w:val="right"/>
              <w:rPr>
                <w:rFonts w:ascii="Arial" w:hAnsi="Arial" w:cs="Arial"/>
                <w:sz w:val="20"/>
                <w:szCs w:val="20"/>
              </w:rPr>
            </w:pPr>
            <w:r>
              <w:rPr>
                <w:rFonts w:ascii="Arial" w:hAnsi="Arial" w:cs="Arial"/>
                <w:sz w:val="20"/>
                <w:szCs w:val="20"/>
              </w:rPr>
              <w:t>1.01*</w:t>
            </w:r>
          </w:p>
        </w:tc>
        <w:tc>
          <w:tcPr>
            <w:tcW w:w="993"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right="25"/>
              <w:jc w:val="right"/>
              <w:rPr>
                <w:rFonts w:ascii="Arial" w:hAnsi="Arial" w:cs="Arial"/>
                <w:sz w:val="20"/>
                <w:szCs w:val="20"/>
              </w:rPr>
            </w:pPr>
            <w:r w:rsidRPr="00E131E9">
              <w:rPr>
                <w:rFonts w:ascii="Arial" w:hAnsi="Arial" w:cs="Arial"/>
                <w:sz w:val="20"/>
                <w:szCs w:val="20"/>
              </w:rPr>
              <w:t>0.98*</w:t>
            </w:r>
          </w:p>
        </w:tc>
        <w:tc>
          <w:tcPr>
            <w:tcW w:w="1275" w:type="dxa"/>
            <w:tcBorders>
              <w:top w:val="nil"/>
              <w:left w:val="nil"/>
              <w:right w:val="nil"/>
            </w:tcBorders>
            <w:vAlign w:val="bottom"/>
          </w:tcPr>
          <w:p w:rsidR="00367AFF" w:rsidRPr="003E44EB" w:rsidRDefault="00367AFF" w:rsidP="00367AFF">
            <w:pPr>
              <w:widowControl w:val="0"/>
              <w:autoSpaceDE w:val="0"/>
              <w:autoSpaceDN w:val="0"/>
              <w:adjustRightInd w:val="0"/>
              <w:spacing w:after="0" w:line="0" w:lineRule="atLeast"/>
              <w:ind w:right="25"/>
              <w:jc w:val="right"/>
              <w:rPr>
                <w:rFonts w:ascii="Arial" w:hAnsi="Arial" w:cs="Arial"/>
                <w:i/>
                <w:sz w:val="20"/>
                <w:szCs w:val="20"/>
              </w:rPr>
            </w:pPr>
            <w:r w:rsidRPr="003E44EB">
              <w:rPr>
                <w:rFonts w:ascii="Arial" w:hAnsi="Arial" w:cs="Arial"/>
                <w:i/>
                <w:sz w:val="20"/>
                <w:szCs w:val="20"/>
              </w:rPr>
              <w:t>2.9%</w:t>
            </w:r>
          </w:p>
        </w:tc>
      </w:tr>
      <w:tr w:rsidR="00367AFF" w:rsidRPr="00E131E9" w:rsidTr="00367AFF">
        <w:trPr>
          <w:trHeight w:val="25"/>
        </w:trPr>
        <w:tc>
          <w:tcPr>
            <w:tcW w:w="403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417"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0" w:lineRule="atLeast"/>
              <w:rPr>
                <w:rFonts w:ascii="Arial" w:hAnsi="Arial" w:cs="Arial"/>
                <w:i/>
                <w:sz w:val="20"/>
                <w:szCs w:val="20"/>
              </w:rPr>
            </w:pPr>
          </w:p>
        </w:tc>
      </w:tr>
      <w:tr w:rsidR="00367AFF" w:rsidRPr="00E131E9" w:rsidTr="00367AFF">
        <w:trPr>
          <w:trHeight w:val="294"/>
        </w:trPr>
        <w:tc>
          <w:tcPr>
            <w:tcW w:w="4033"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ind w:left="20"/>
              <w:rPr>
                <w:rFonts w:ascii="Arial" w:hAnsi="Arial" w:cs="Arial"/>
                <w:sz w:val="20"/>
                <w:szCs w:val="20"/>
              </w:rPr>
            </w:pPr>
          </w:p>
        </w:tc>
        <w:tc>
          <w:tcPr>
            <w:tcW w:w="1417"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993" w:type="dxa"/>
            <w:tcBorders>
              <w:top w:val="single" w:sz="4" w:space="0" w:color="auto"/>
              <w:left w:val="nil"/>
              <w:bottom w:val="nil"/>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single" w:sz="4" w:space="0" w:color="auto"/>
              <w:left w:val="nil"/>
              <w:bottom w:val="nil"/>
              <w:right w:val="nil"/>
            </w:tcBorders>
            <w:vAlign w:val="bottom"/>
          </w:tcPr>
          <w:p w:rsidR="00367AFF" w:rsidRPr="003E44EB" w:rsidRDefault="00367AFF" w:rsidP="00367AFF">
            <w:pPr>
              <w:widowControl w:val="0"/>
              <w:autoSpaceDE w:val="0"/>
              <w:autoSpaceDN w:val="0"/>
              <w:adjustRightInd w:val="0"/>
              <w:spacing w:after="0" w:line="0" w:lineRule="atLeast"/>
              <w:rPr>
                <w:rFonts w:ascii="Arial" w:hAnsi="Arial" w:cs="Arial"/>
                <w:i/>
                <w:sz w:val="20"/>
                <w:szCs w:val="20"/>
              </w:rPr>
            </w:pPr>
          </w:p>
        </w:tc>
      </w:tr>
      <w:tr w:rsidR="00367AFF" w:rsidRPr="00E131E9" w:rsidTr="00367AFF">
        <w:trPr>
          <w:trHeight w:val="200"/>
        </w:trPr>
        <w:tc>
          <w:tcPr>
            <w:tcW w:w="4033"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 xml:space="preserve">Underlying operating profit margin </w:t>
            </w:r>
          </w:p>
        </w:tc>
        <w:tc>
          <w:tcPr>
            <w:tcW w:w="1417"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right="105"/>
              <w:jc w:val="right"/>
              <w:rPr>
                <w:rFonts w:ascii="Arial" w:hAnsi="Arial" w:cs="Arial"/>
                <w:sz w:val="20"/>
                <w:szCs w:val="20"/>
              </w:rPr>
            </w:pPr>
            <w:r>
              <w:rPr>
                <w:rFonts w:ascii="Arial" w:hAnsi="Arial" w:cs="Arial"/>
                <w:sz w:val="20"/>
                <w:szCs w:val="20"/>
              </w:rPr>
              <w:t>24.6%</w:t>
            </w:r>
          </w:p>
        </w:tc>
        <w:tc>
          <w:tcPr>
            <w:tcW w:w="993" w:type="dxa"/>
            <w:tcBorders>
              <w:top w:val="nil"/>
              <w:left w:val="nil"/>
              <w:right w:val="nil"/>
            </w:tcBorders>
            <w:vAlign w:val="bottom"/>
          </w:tcPr>
          <w:p w:rsidR="00367AFF" w:rsidRPr="00E131E9" w:rsidRDefault="00367AFF" w:rsidP="00367AFF">
            <w:pPr>
              <w:widowControl w:val="0"/>
              <w:autoSpaceDE w:val="0"/>
              <w:autoSpaceDN w:val="0"/>
              <w:adjustRightInd w:val="0"/>
              <w:spacing w:after="0" w:line="0" w:lineRule="atLeast"/>
              <w:ind w:right="105"/>
              <w:jc w:val="right"/>
              <w:rPr>
                <w:rFonts w:ascii="Arial" w:hAnsi="Arial" w:cs="Arial"/>
                <w:sz w:val="20"/>
                <w:szCs w:val="20"/>
              </w:rPr>
            </w:pPr>
            <w:r w:rsidRPr="00E131E9">
              <w:rPr>
                <w:rFonts w:ascii="Arial" w:hAnsi="Arial" w:cs="Arial"/>
                <w:sz w:val="20"/>
                <w:szCs w:val="20"/>
              </w:rPr>
              <w:t>24.0</w:t>
            </w:r>
            <w:r>
              <w:rPr>
                <w:rFonts w:ascii="Arial" w:hAnsi="Arial" w:cs="Arial"/>
                <w:sz w:val="20"/>
                <w:szCs w:val="20"/>
              </w:rPr>
              <w:t>%</w:t>
            </w:r>
          </w:p>
        </w:tc>
        <w:tc>
          <w:tcPr>
            <w:tcW w:w="1275" w:type="dxa"/>
            <w:tcBorders>
              <w:top w:val="nil"/>
              <w:left w:val="nil"/>
              <w:right w:val="nil"/>
            </w:tcBorders>
            <w:vAlign w:val="bottom"/>
          </w:tcPr>
          <w:p w:rsidR="00367AFF" w:rsidRPr="003E44EB" w:rsidRDefault="00367AFF" w:rsidP="00367AFF">
            <w:pPr>
              <w:widowControl w:val="0"/>
              <w:autoSpaceDE w:val="0"/>
              <w:autoSpaceDN w:val="0"/>
              <w:adjustRightInd w:val="0"/>
              <w:spacing w:after="0" w:line="0" w:lineRule="atLeast"/>
              <w:ind w:right="25"/>
              <w:jc w:val="right"/>
              <w:rPr>
                <w:rFonts w:ascii="Arial" w:hAnsi="Arial" w:cs="Arial"/>
                <w:i/>
                <w:sz w:val="20"/>
                <w:szCs w:val="20"/>
              </w:rPr>
            </w:pPr>
            <w:r w:rsidRPr="003E44EB">
              <w:rPr>
                <w:rFonts w:ascii="Arial" w:hAnsi="Arial" w:cs="Arial"/>
                <w:i/>
                <w:sz w:val="20"/>
                <w:szCs w:val="20"/>
              </w:rPr>
              <w:t>2.2%</w:t>
            </w:r>
          </w:p>
        </w:tc>
      </w:tr>
      <w:tr w:rsidR="00367AFF" w:rsidRPr="00E131E9" w:rsidTr="00367AFF">
        <w:trPr>
          <w:trHeight w:val="25"/>
        </w:trPr>
        <w:tc>
          <w:tcPr>
            <w:tcW w:w="403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417"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367AFF">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0" w:lineRule="atLeast"/>
              <w:rPr>
                <w:rFonts w:ascii="Arial" w:hAnsi="Arial" w:cs="Arial"/>
                <w:i/>
                <w:sz w:val="20"/>
                <w:szCs w:val="20"/>
              </w:rPr>
            </w:pPr>
          </w:p>
        </w:tc>
      </w:tr>
      <w:tr w:rsidR="00367AFF" w:rsidRPr="00E131E9" w:rsidTr="00367AFF">
        <w:trPr>
          <w:trHeight w:val="292"/>
        </w:trPr>
        <w:tc>
          <w:tcPr>
            <w:tcW w:w="4033" w:type="dxa"/>
            <w:tcBorders>
              <w:top w:val="single" w:sz="4" w:space="0" w:color="auto"/>
              <w:left w:val="nil"/>
              <w:bottom w:val="single" w:sz="4" w:space="0" w:color="auto"/>
              <w:right w:val="nil"/>
            </w:tcBorders>
            <w:vAlign w:val="bottom"/>
          </w:tcPr>
          <w:p w:rsidR="00367AFF" w:rsidRPr="00306E0A" w:rsidRDefault="00367AFF" w:rsidP="00367AFF">
            <w:pPr>
              <w:widowControl w:val="0"/>
              <w:autoSpaceDE w:val="0"/>
              <w:autoSpaceDN w:val="0"/>
              <w:adjustRightInd w:val="0"/>
              <w:spacing w:after="0" w:line="0" w:lineRule="atLeast"/>
              <w:ind w:left="20"/>
              <w:rPr>
                <w:rFonts w:ascii="Arial" w:hAnsi="Arial" w:cs="Arial"/>
                <w:b/>
                <w:i/>
                <w:sz w:val="20"/>
                <w:szCs w:val="20"/>
              </w:rPr>
            </w:pPr>
            <w:r w:rsidRPr="00306E0A">
              <w:rPr>
                <w:rFonts w:ascii="Arial" w:hAnsi="Arial" w:cs="Arial"/>
                <w:b/>
                <w:i/>
                <w:sz w:val="20"/>
                <w:szCs w:val="20"/>
              </w:rPr>
              <w:t>Passengers carried (000s)</w:t>
            </w:r>
          </w:p>
        </w:tc>
        <w:tc>
          <w:tcPr>
            <w:tcW w:w="1417" w:type="dxa"/>
            <w:tcBorders>
              <w:top w:val="single" w:sz="4" w:space="0" w:color="auto"/>
              <w:left w:val="nil"/>
              <w:bottom w:val="single" w:sz="4" w:space="0" w:color="auto"/>
              <w:right w:val="nil"/>
            </w:tcBorders>
            <w:vAlign w:val="bottom"/>
          </w:tcPr>
          <w:p w:rsidR="00367AFF" w:rsidRPr="00306E0A" w:rsidRDefault="00367AFF" w:rsidP="00367AFF">
            <w:pPr>
              <w:widowControl w:val="0"/>
              <w:autoSpaceDE w:val="0"/>
              <w:autoSpaceDN w:val="0"/>
              <w:adjustRightInd w:val="0"/>
              <w:spacing w:after="0" w:line="0" w:lineRule="atLeast"/>
              <w:ind w:right="105"/>
              <w:jc w:val="right"/>
              <w:rPr>
                <w:rFonts w:ascii="Arial" w:hAnsi="Arial" w:cs="Arial"/>
                <w:b/>
                <w:i/>
                <w:sz w:val="20"/>
                <w:szCs w:val="20"/>
              </w:rPr>
            </w:pPr>
            <w:r w:rsidRPr="00306E0A">
              <w:rPr>
                <w:rFonts w:ascii="Arial" w:hAnsi="Arial" w:cs="Arial"/>
                <w:b/>
                <w:i/>
                <w:sz w:val="20"/>
                <w:szCs w:val="20"/>
              </w:rPr>
              <w:t>2,98</w:t>
            </w:r>
            <w:r>
              <w:rPr>
                <w:rFonts w:ascii="Arial" w:hAnsi="Arial" w:cs="Arial"/>
                <w:b/>
                <w:i/>
                <w:sz w:val="20"/>
                <w:szCs w:val="20"/>
              </w:rPr>
              <w:t>6</w:t>
            </w:r>
          </w:p>
        </w:tc>
        <w:tc>
          <w:tcPr>
            <w:tcW w:w="993" w:type="dxa"/>
            <w:tcBorders>
              <w:top w:val="single" w:sz="4" w:space="0" w:color="auto"/>
              <w:left w:val="nil"/>
              <w:bottom w:val="single" w:sz="4" w:space="0" w:color="auto"/>
              <w:right w:val="nil"/>
            </w:tcBorders>
            <w:vAlign w:val="bottom"/>
          </w:tcPr>
          <w:p w:rsidR="00367AFF" w:rsidRPr="00306E0A" w:rsidRDefault="00367AFF" w:rsidP="00367AFF">
            <w:pPr>
              <w:widowControl w:val="0"/>
              <w:autoSpaceDE w:val="0"/>
              <w:autoSpaceDN w:val="0"/>
              <w:adjustRightInd w:val="0"/>
              <w:spacing w:after="0" w:line="0" w:lineRule="atLeast"/>
              <w:ind w:right="105"/>
              <w:jc w:val="right"/>
              <w:rPr>
                <w:rFonts w:ascii="Arial" w:hAnsi="Arial" w:cs="Arial"/>
                <w:b/>
                <w:i/>
                <w:sz w:val="20"/>
                <w:szCs w:val="20"/>
              </w:rPr>
            </w:pPr>
            <w:r w:rsidRPr="00306E0A">
              <w:rPr>
                <w:rFonts w:ascii="Arial" w:hAnsi="Arial" w:cs="Arial"/>
                <w:b/>
                <w:i/>
                <w:sz w:val="20"/>
                <w:szCs w:val="20"/>
              </w:rPr>
              <w:t>3,033</w:t>
            </w:r>
          </w:p>
        </w:tc>
        <w:tc>
          <w:tcPr>
            <w:tcW w:w="1275" w:type="dxa"/>
            <w:tcBorders>
              <w:top w:val="single" w:sz="4" w:space="0" w:color="auto"/>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0" w:lineRule="atLeast"/>
              <w:jc w:val="right"/>
              <w:rPr>
                <w:rFonts w:ascii="Arial" w:hAnsi="Arial" w:cs="Arial"/>
                <w:i/>
                <w:sz w:val="20"/>
                <w:szCs w:val="20"/>
              </w:rPr>
            </w:pPr>
            <w:r w:rsidRPr="003E44EB">
              <w:rPr>
                <w:rFonts w:ascii="Arial" w:hAnsi="Arial" w:cs="Arial"/>
                <w:i/>
                <w:sz w:val="20"/>
                <w:szCs w:val="20"/>
              </w:rPr>
              <w:t>-1.6%</w:t>
            </w:r>
          </w:p>
        </w:tc>
      </w:tr>
    </w:tbl>
    <w:p w:rsidR="00367AFF" w:rsidRPr="00B06AC4" w:rsidRDefault="00367AFF" w:rsidP="00367AFF">
      <w:pPr>
        <w:widowControl w:val="0"/>
        <w:autoSpaceDE w:val="0"/>
        <w:autoSpaceDN w:val="0"/>
        <w:adjustRightInd w:val="0"/>
        <w:spacing w:after="0" w:line="0" w:lineRule="atLeast"/>
        <w:rPr>
          <w:rFonts w:ascii="Arial" w:hAnsi="Arial" w:cs="Arial"/>
          <w:sz w:val="20"/>
          <w:szCs w:val="20"/>
        </w:rPr>
      </w:pPr>
    </w:p>
    <w:p w:rsidR="00367AFF" w:rsidRDefault="00367AFF" w:rsidP="00367AFF">
      <w:pPr>
        <w:widowControl w:val="0"/>
        <w:overflowPunct w:val="0"/>
        <w:autoSpaceDE w:val="0"/>
        <w:autoSpaceDN w:val="0"/>
        <w:adjustRightInd w:val="0"/>
        <w:spacing w:line="268" w:lineRule="auto"/>
        <w:ind w:left="80" w:right="400"/>
        <w:rPr>
          <w:rFonts w:ascii="Arial" w:hAnsi="Arial" w:cs="Arial"/>
          <w:sz w:val="20"/>
          <w:szCs w:val="20"/>
        </w:rPr>
      </w:pPr>
      <w:r w:rsidRPr="00B06AC4">
        <w:rPr>
          <w:rFonts w:ascii="Arial" w:hAnsi="Arial" w:cs="Arial"/>
          <w:sz w:val="20"/>
          <w:szCs w:val="20"/>
        </w:rPr>
        <w:t>*Operating profit is shown before charging</w:t>
      </w:r>
      <w:r>
        <w:rPr>
          <w:rFonts w:ascii="Arial" w:hAnsi="Arial" w:cs="Arial"/>
          <w:sz w:val="20"/>
          <w:szCs w:val="20"/>
        </w:rPr>
        <w:t xml:space="preserve"> finance lease interest of £0.23 </w:t>
      </w:r>
      <w:r w:rsidRPr="00B06AC4">
        <w:rPr>
          <w:rFonts w:ascii="Arial" w:hAnsi="Arial" w:cs="Arial"/>
          <w:sz w:val="20"/>
          <w:szCs w:val="20"/>
        </w:rPr>
        <w:t>million (</w:t>
      </w:r>
      <w:r w:rsidRPr="00A33751">
        <w:rPr>
          <w:rFonts w:ascii="Arial" w:hAnsi="Arial" w:cs="Arial"/>
          <w:i/>
          <w:sz w:val="20"/>
          <w:szCs w:val="20"/>
        </w:rPr>
        <w:t>2013: £0.24 million</w:t>
      </w:r>
      <w:r w:rsidRPr="00B06AC4">
        <w:rPr>
          <w:rFonts w:ascii="Arial" w:hAnsi="Arial" w:cs="Arial"/>
          <w:sz w:val="20"/>
          <w:szCs w:val="20"/>
        </w:rPr>
        <w:t>) relating to the new Pontoon.</w:t>
      </w:r>
    </w:p>
    <w:p w:rsidR="00367AFF" w:rsidRDefault="00367AFF" w:rsidP="00367AFF">
      <w:pPr>
        <w:widowControl w:val="0"/>
        <w:overflowPunct w:val="0"/>
        <w:autoSpaceDE w:val="0"/>
        <w:autoSpaceDN w:val="0"/>
        <w:adjustRightInd w:val="0"/>
        <w:ind w:right="128"/>
        <w:jc w:val="both"/>
        <w:rPr>
          <w:rFonts w:ascii="Arial" w:hAnsi="Arial" w:cs="Arial"/>
          <w:sz w:val="20"/>
          <w:szCs w:val="20"/>
        </w:rPr>
      </w:pPr>
      <w:r>
        <w:rPr>
          <w:rFonts w:ascii="Arial" w:hAnsi="Arial" w:cs="Arial"/>
          <w:sz w:val="20"/>
          <w:szCs w:val="20"/>
        </w:rPr>
        <w:t>Over the course of the year weekday p</w:t>
      </w:r>
      <w:r w:rsidRPr="00E131E9">
        <w:rPr>
          <w:rFonts w:ascii="Arial" w:hAnsi="Arial" w:cs="Arial"/>
          <w:sz w:val="20"/>
          <w:szCs w:val="20"/>
        </w:rPr>
        <w:t xml:space="preserve">assenger numbers </w:t>
      </w:r>
      <w:r>
        <w:rPr>
          <w:rFonts w:ascii="Arial" w:hAnsi="Arial" w:cs="Arial"/>
          <w:sz w:val="20"/>
          <w:szCs w:val="20"/>
        </w:rPr>
        <w:t xml:space="preserve">declined by 2.7% whereas in contrast weekend volumes increased by 1.8%.  The further decline in weekday commuter traffic reflected the ongoing economic challenges in the local economy and the impact of changes to the Ministry of Defence’s policy of </w:t>
      </w:r>
      <w:r w:rsidRPr="00E131E9">
        <w:rPr>
          <w:rFonts w:ascii="Arial" w:hAnsi="Arial" w:cs="Arial"/>
          <w:sz w:val="20"/>
          <w:szCs w:val="20"/>
        </w:rPr>
        <w:t xml:space="preserve">“Home to Duty” </w:t>
      </w:r>
      <w:r>
        <w:rPr>
          <w:rFonts w:ascii="Arial" w:hAnsi="Arial" w:cs="Arial"/>
          <w:sz w:val="20"/>
          <w:szCs w:val="20"/>
        </w:rPr>
        <w:t xml:space="preserve">expenses reimbursement which saw a shift from ferry to car travel. </w:t>
      </w:r>
      <w:r w:rsidR="008824D2">
        <w:rPr>
          <w:rFonts w:ascii="Arial" w:hAnsi="Arial" w:cs="Arial"/>
          <w:sz w:val="20"/>
          <w:szCs w:val="20"/>
        </w:rPr>
        <w:t xml:space="preserve"> </w:t>
      </w:r>
      <w:r>
        <w:rPr>
          <w:rFonts w:ascii="Arial" w:hAnsi="Arial" w:cs="Arial"/>
          <w:sz w:val="20"/>
          <w:szCs w:val="20"/>
        </w:rPr>
        <w:t>However after persistent lobbying, support from the local MP in Gosport and the Secretary of State for Transport, the Ministry of Defence agreed to reverse its decision and from 1 May 2014 will once more reimburse travel to work on the ferry.  We anticipate that this will have a positive impact on passenger numbers in 2014</w:t>
      </w:r>
      <w:r w:rsidR="00B114C6">
        <w:rPr>
          <w:rFonts w:ascii="Arial" w:hAnsi="Arial" w:cs="Arial"/>
          <w:sz w:val="20"/>
          <w:szCs w:val="20"/>
        </w:rPr>
        <w:t>-</w:t>
      </w:r>
      <w:r>
        <w:rPr>
          <w:rFonts w:ascii="Arial" w:hAnsi="Arial" w:cs="Arial"/>
          <w:sz w:val="20"/>
          <w:szCs w:val="20"/>
        </w:rPr>
        <w:t xml:space="preserve">15 which should go some way to offsetting the impact of 1,000 dockyard job losses announced by BAE Systems in 2014. Looking ahead the outlook for passenger growth is positive as the Naval Base expands to support the new Queen Elizabeth class carriers.  </w:t>
      </w:r>
    </w:p>
    <w:p w:rsidR="00367AFF" w:rsidRPr="00E131E9" w:rsidRDefault="00367AFF" w:rsidP="00367AFF">
      <w:pPr>
        <w:widowControl w:val="0"/>
        <w:overflowPunct w:val="0"/>
        <w:autoSpaceDE w:val="0"/>
        <w:autoSpaceDN w:val="0"/>
        <w:adjustRightInd w:val="0"/>
        <w:ind w:right="128"/>
        <w:jc w:val="both"/>
        <w:rPr>
          <w:rFonts w:ascii="Arial" w:hAnsi="Arial" w:cs="Arial"/>
          <w:sz w:val="20"/>
          <w:szCs w:val="20"/>
        </w:rPr>
      </w:pPr>
      <w:r w:rsidRPr="00E131E9">
        <w:rPr>
          <w:rFonts w:ascii="Arial" w:hAnsi="Arial" w:cs="Arial"/>
          <w:sz w:val="20"/>
          <w:szCs w:val="20"/>
        </w:rPr>
        <w:t>Ferry fares were increased by an average of 3.</w:t>
      </w:r>
      <w:r>
        <w:rPr>
          <w:rFonts w:ascii="Arial" w:hAnsi="Arial" w:cs="Arial"/>
          <w:sz w:val="20"/>
          <w:szCs w:val="20"/>
        </w:rPr>
        <w:t>3</w:t>
      </w:r>
      <w:r w:rsidRPr="00E131E9">
        <w:rPr>
          <w:rFonts w:ascii="Arial" w:hAnsi="Arial" w:cs="Arial"/>
          <w:sz w:val="20"/>
          <w:szCs w:val="20"/>
        </w:rPr>
        <w:t>% in June 201</w:t>
      </w:r>
      <w:r>
        <w:rPr>
          <w:rFonts w:ascii="Arial" w:hAnsi="Arial" w:cs="Arial"/>
          <w:sz w:val="20"/>
          <w:szCs w:val="20"/>
        </w:rPr>
        <w:t>3</w:t>
      </w:r>
      <w:r w:rsidRPr="00E131E9">
        <w:rPr>
          <w:rFonts w:ascii="Arial" w:hAnsi="Arial" w:cs="Arial"/>
          <w:sz w:val="20"/>
          <w:szCs w:val="20"/>
        </w:rPr>
        <w:t>, bringing the total</w:t>
      </w:r>
      <w:r>
        <w:rPr>
          <w:rFonts w:ascii="Arial" w:hAnsi="Arial" w:cs="Arial"/>
          <w:sz w:val="20"/>
          <w:szCs w:val="20"/>
        </w:rPr>
        <w:t xml:space="preserve"> cost of an adult return to £2.9</w:t>
      </w:r>
      <w:r w:rsidRPr="00E131E9">
        <w:rPr>
          <w:rFonts w:ascii="Arial" w:hAnsi="Arial" w:cs="Arial"/>
          <w:sz w:val="20"/>
          <w:szCs w:val="20"/>
        </w:rPr>
        <w:t>0.  Discounted fares for regular customers</w:t>
      </w:r>
      <w:r>
        <w:rPr>
          <w:rFonts w:ascii="Arial" w:hAnsi="Arial" w:cs="Arial"/>
          <w:sz w:val="20"/>
          <w:szCs w:val="20"/>
        </w:rPr>
        <w:t xml:space="preserve"> (£1.35 per ferry journey)</w:t>
      </w:r>
      <w:r w:rsidRPr="00E131E9">
        <w:rPr>
          <w:rFonts w:ascii="Arial" w:hAnsi="Arial" w:cs="Arial"/>
          <w:sz w:val="20"/>
          <w:szCs w:val="20"/>
        </w:rPr>
        <w:t>, and lower tariff</w:t>
      </w:r>
      <w:r>
        <w:rPr>
          <w:rFonts w:ascii="Arial" w:hAnsi="Arial" w:cs="Arial"/>
          <w:sz w:val="20"/>
          <w:szCs w:val="20"/>
        </w:rPr>
        <w:t>s for seniors and children (£1.9</w:t>
      </w:r>
      <w:r w:rsidRPr="00E131E9">
        <w:rPr>
          <w:rFonts w:ascii="Arial" w:hAnsi="Arial" w:cs="Arial"/>
          <w:sz w:val="20"/>
          <w:szCs w:val="20"/>
        </w:rPr>
        <w:t xml:space="preserve">0 return) reinforce the value for money offered by the ferry service compared to bus and car travel.  </w:t>
      </w:r>
    </w:p>
    <w:p w:rsidR="00367AFF" w:rsidRDefault="00367AFF" w:rsidP="00367AFF">
      <w:pPr>
        <w:widowControl w:val="0"/>
        <w:overflowPunct w:val="0"/>
        <w:autoSpaceDE w:val="0"/>
        <w:autoSpaceDN w:val="0"/>
        <w:adjustRightInd w:val="0"/>
        <w:ind w:right="128"/>
        <w:jc w:val="both"/>
        <w:rPr>
          <w:rFonts w:ascii="Arial" w:hAnsi="Arial" w:cs="Arial"/>
          <w:sz w:val="20"/>
          <w:szCs w:val="20"/>
        </w:rPr>
      </w:pPr>
      <w:r>
        <w:rPr>
          <w:rFonts w:ascii="Arial" w:hAnsi="Arial" w:cs="Arial"/>
          <w:sz w:val="20"/>
          <w:szCs w:val="20"/>
        </w:rPr>
        <w:t xml:space="preserve">Average fares per passenger journey increased by </w:t>
      </w:r>
      <w:r w:rsidR="00812B39">
        <w:rPr>
          <w:rFonts w:ascii="Arial" w:hAnsi="Arial" w:cs="Arial"/>
          <w:sz w:val="20"/>
          <w:szCs w:val="20"/>
        </w:rPr>
        <w:t>3.1%</w:t>
      </w:r>
      <w:r>
        <w:rPr>
          <w:rFonts w:ascii="Arial" w:hAnsi="Arial" w:cs="Arial"/>
          <w:sz w:val="20"/>
          <w:szCs w:val="20"/>
        </w:rPr>
        <w:t xml:space="preserve"> to £1.32 (</w:t>
      </w:r>
      <w:r w:rsidRPr="00E2489C">
        <w:rPr>
          <w:rFonts w:ascii="Arial" w:hAnsi="Arial" w:cs="Arial"/>
          <w:i/>
          <w:sz w:val="20"/>
          <w:szCs w:val="20"/>
        </w:rPr>
        <w:t>2013</w:t>
      </w:r>
      <w:r>
        <w:rPr>
          <w:rFonts w:ascii="Arial" w:hAnsi="Arial" w:cs="Arial"/>
          <w:i/>
          <w:sz w:val="20"/>
          <w:szCs w:val="20"/>
        </w:rPr>
        <w:t>:</w:t>
      </w:r>
      <w:r w:rsidRPr="00E2489C">
        <w:rPr>
          <w:rFonts w:ascii="Arial" w:hAnsi="Arial" w:cs="Arial"/>
          <w:i/>
          <w:sz w:val="20"/>
          <w:szCs w:val="20"/>
        </w:rPr>
        <w:t xml:space="preserve"> £1.2</w:t>
      </w:r>
      <w:r>
        <w:rPr>
          <w:rFonts w:ascii="Arial" w:hAnsi="Arial" w:cs="Arial"/>
          <w:i/>
          <w:sz w:val="20"/>
          <w:szCs w:val="20"/>
        </w:rPr>
        <w:t>8</w:t>
      </w:r>
      <w:r>
        <w:rPr>
          <w:rFonts w:ascii="Arial" w:hAnsi="Arial" w:cs="Arial"/>
          <w:sz w:val="20"/>
          <w:szCs w:val="20"/>
        </w:rPr>
        <w:t>).</w:t>
      </w:r>
    </w:p>
    <w:p w:rsidR="00367AFF" w:rsidRPr="00E131E9" w:rsidRDefault="00367AFF" w:rsidP="00367AFF">
      <w:pPr>
        <w:widowControl w:val="0"/>
        <w:overflowPunct w:val="0"/>
        <w:autoSpaceDE w:val="0"/>
        <w:autoSpaceDN w:val="0"/>
        <w:adjustRightInd w:val="0"/>
        <w:ind w:right="128"/>
        <w:jc w:val="both"/>
        <w:rPr>
          <w:rFonts w:ascii="Arial" w:hAnsi="Arial" w:cs="Arial"/>
          <w:sz w:val="20"/>
          <w:szCs w:val="20"/>
        </w:rPr>
      </w:pPr>
      <w:r>
        <w:rPr>
          <w:rFonts w:ascii="Arial" w:hAnsi="Arial" w:cs="Arial"/>
          <w:sz w:val="20"/>
          <w:szCs w:val="20"/>
        </w:rPr>
        <w:t>Ferry reliability was again outstanding with on time departures running at 99.7% (</w:t>
      </w:r>
      <w:r w:rsidRPr="00E2489C">
        <w:rPr>
          <w:rFonts w:ascii="Arial" w:hAnsi="Arial" w:cs="Arial"/>
          <w:i/>
          <w:sz w:val="20"/>
          <w:szCs w:val="20"/>
        </w:rPr>
        <w:t>2013</w:t>
      </w:r>
      <w:r>
        <w:rPr>
          <w:rFonts w:ascii="Arial" w:hAnsi="Arial" w:cs="Arial"/>
          <w:i/>
          <w:sz w:val="20"/>
          <w:szCs w:val="20"/>
        </w:rPr>
        <w:t>:</w:t>
      </w:r>
      <w:r w:rsidRPr="00E2489C">
        <w:rPr>
          <w:rFonts w:ascii="Arial" w:hAnsi="Arial" w:cs="Arial"/>
          <w:i/>
          <w:sz w:val="20"/>
          <w:szCs w:val="20"/>
        </w:rPr>
        <w:t xml:space="preserve"> 99.5%</w:t>
      </w:r>
      <w:r>
        <w:rPr>
          <w:rFonts w:ascii="Arial" w:hAnsi="Arial" w:cs="Arial"/>
          <w:sz w:val="20"/>
          <w:szCs w:val="20"/>
        </w:rPr>
        <w:t>)</w:t>
      </w:r>
      <w:r w:rsidRPr="00E131E9">
        <w:rPr>
          <w:rFonts w:ascii="Arial" w:hAnsi="Arial" w:cs="Arial"/>
          <w:sz w:val="20"/>
          <w:szCs w:val="20"/>
        </w:rPr>
        <w:t xml:space="preserve">.     </w:t>
      </w:r>
    </w:p>
    <w:p w:rsidR="00367AFF" w:rsidRPr="00E131E9" w:rsidRDefault="00367AFF" w:rsidP="00367AFF">
      <w:pPr>
        <w:widowControl w:val="0"/>
        <w:overflowPunct w:val="0"/>
        <w:autoSpaceDE w:val="0"/>
        <w:autoSpaceDN w:val="0"/>
        <w:adjustRightInd w:val="0"/>
        <w:ind w:right="128"/>
        <w:jc w:val="both"/>
        <w:rPr>
          <w:rFonts w:ascii="Arial" w:hAnsi="Arial" w:cs="Arial"/>
          <w:sz w:val="20"/>
          <w:szCs w:val="20"/>
        </w:rPr>
      </w:pPr>
      <w:r>
        <w:rPr>
          <w:rFonts w:ascii="Arial" w:hAnsi="Arial" w:cs="Arial"/>
          <w:sz w:val="20"/>
          <w:szCs w:val="20"/>
        </w:rPr>
        <w:t xml:space="preserve">Construction is now well advanced on a </w:t>
      </w:r>
      <w:r w:rsidRPr="00E131E9">
        <w:rPr>
          <w:rFonts w:ascii="Arial" w:hAnsi="Arial" w:cs="Arial"/>
          <w:sz w:val="20"/>
          <w:szCs w:val="20"/>
        </w:rPr>
        <w:t>third modern ferry vessel</w:t>
      </w:r>
      <w:r>
        <w:rPr>
          <w:rFonts w:ascii="Arial" w:hAnsi="Arial" w:cs="Arial"/>
          <w:sz w:val="20"/>
          <w:szCs w:val="20"/>
        </w:rPr>
        <w:t xml:space="preserve">, “Harbour Spirit”, which is due to enter service early </w:t>
      </w:r>
      <w:r w:rsidR="00DA414F">
        <w:rPr>
          <w:rFonts w:ascii="Arial" w:hAnsi="Arial" w:cs="Arial"/>
          <w:sz w:val="20"/>
          <w:szCs w:val="20"/>
        </w:rPr>
        <w:t xml:space="preserve">in </w:t>
      </w:r>
      <w:r>
        <w:rPr>
          <w:rFonts w:ascii="Arial" w:hAnsi="Arial" w:cs="Arial"/>
          <w:sz w:val="20"/>
          <w:szCs w:val="20"/>
        </w:rPr>
        <w:t xml:space="preserve">2015. </w:t>
      </w:r>
      <w:r w:rsidR="00401CAA">
        <w:rPr>
          <w:rFonts w:ascii="Arial" w:hAnsi="Arial" w:cs="Arial"/>
          <w:sz w:val="20"/>
          <w:szCs w:val="20"/>
        </w:rPr>
        <w:t xml:space="preserve">Expenditure incurred </w:t>
      </w:r>
      <w:r w:rsidR="00305E47">
        <w:rPr>
          <w:rFonts w:ascii="Arial" w:hAnsi="Arial" w:cs="Arial"/>
          <w:sz w:val="20"/>
          <w:szCs w:val="20"/>
        </w:rPr>
        <w:t xml:space="preserve">in the year </w:t>
      </w:r>
      <w:r w:rsidR="00401CAA">
        <w:rPr>
          <w:rFonts w:ascii="Arial" w:hAnsi="Arial" w:cs="Arial"/>
          <w:sz w:val="20"/>
          <w:szCs w:val="20"/>
        </w:rPr>
        <w:t>on the vessel amounts to £1.</w:t>
      </w:r>
      <w:r w:rsidR="00942E4C">
        <w:rPr>
          <w:rFonts w:ascii="Arial" w:hAnsi="Arial" w:cs="Arial"/>
          <w:sz w:val="20"/>
          <w:szCs w:val="20"/>
        </w:rPr>
        <w:t>8</w:t>
      </w:r>
      <w:r w:rsidR="00DA414F">
        <w:rPr>
          <w:rFonts w:ascii="Arial" w:hAnsi="Arial" w:cs="Arial"/>
          <w:sz w:val="20"/>
          <w:szCs w:val="20"/>
        </w:rPr>
        <w:t xml:space="preserve"> </w:t>
      </w:r>
      <w:r w:rsidR="00401CAA">
        <w:rPr>
          <w:rFonts w:ascii="Arial" w:hAnsi="Arial" w:cs="Arial"/>
          <w:sz w:val="20"/>
          <w:szCs w:val="20"/>
        </w:rPr>
        <w:t>million and t</w:t>
      </w:r>
      <w:r>
        <w:rPr>
          <w:rFonts w:ascii="Arial" w:hAnsi="Arial" w:cs="Arial"/>
          <w:sz w:val="20"/>
          <w:szCs w:val="20"/>
        </w:rPr>
        <w:t xml:space="preserve">he total cost </w:t>
      </w:r>
      <w:r w:rsidR="00401CAA">
        <w:rPr>
          <w:rFonts w:ascii="Arial" w:hAnsi="Arial" w:cs="Arial"/>
          <w:sz w:val="20"/>
          <w:szCs w:val="20"/>
        </w:rPr>
        <w:t xml:space="preserve">will </w:t>
      </w:r>
      <w:r w:rsidR="00305E47">
        <w:rPr>
          <w:rFonts w:ascii="Arial" w:hAnsi="Arial" w:cs="Arial"/>
          <w:sz w:val="20"/>
          <w:szCs w:val="20"/>
        </w:rPr>
        <w:t xml:space="preserve">be approximately </w:t>
      </w:r>
      <w:r>
        <w:rPr>
          <w:rFonts w:ascii="Arial" w:hAnsi="Arial" w:cs="Arial"/>
          <w:sz w:val="20"/>
          <w:szCs w:val="20"/>
        </w:rPr>
        <w:t>£3.3 million</w:t>
      </w:r>
      <w:r w:rsidR="00305E47">
        <w:rPr>
          <w:rFonts w:ascii="Arial" w:hAnsi="Arial" w:cs="Arial"/>
          <w:sz w:val="20"/>
          <w:szCs w:val="20"/>
        </w:rPr>
        <w:t xml:space="preserve">, this </w:t>
      </w:r>
      <w:r>
        <w:rPr>
          <w:rFonts w:ascii="Arial" w:hAnsi="Arial" w:cs="Arial"/>
          <w:sz w:val="20"/>
          <w:szCs w:val="20"/>
        </w:rPr>
        <w:t xml:space="preserve">will be substantially financed by a 10 </w:t>
      </w:r>
      <w:r w:rsidRPr="00E131E9">
        <w:rPr>
          <w:rFonts w:ascii="Arial" w:hAnsi="Arial" w:cs="Arial"/>
          <w:sz w:val="20"/>
          <w:szCs w:val="20"/>
        </w:rPr>
        <w:t>year bank loan.</w:t>
      </w:r>
      <w:r>
        <w:rPr>
          <w:rFonts w:ascii="Arial" w:hAnsi="Arial" w:cs="Arial"/>
          <w:sz w:val="20"/>
          <w:szCs w:val="20"/>
        </w:rPr>
        <w:t xml:space="preserve"> With three ferry vessels built since 2001 and an estimated service life of over 30 years, no further significant vessel expenditure is anticipated in the next decade.</w:t>
      </w:r>
      <w:r w:rsidRPr="00E131E9">
        <w:rPr>
          <w:rFonts w:ascii="Arial" w:hAnsi="Arial" w:cs="Arial"/>
          <w:sz w:val="20"/>
          <w:szCs w:val="20"/>
        </w:rPr>
        <w:t xml:space="preserve"> </w:t>
      </w:r>
    </w:p>
    <w:p w:rsidR="00367AFF" w:rsidRDefault="00367AFF" w:rsidP="00367AFF">
      <w:pPr>
        <w:widowControl w:val="0"/>
        <w:overflowPunct w:val="0"/>
        <w:autoSpaceDE w:val="0"/>
        <w:autoSpaceDN w:val="0"/>
        <w:adjustRightInd w:val="0"/>
        <w:jc w:val="both"/>
        <w:rPr>
          <w:rFonts w:ascii="Arial" w:hAnsi="Arial" w:cs="Arial"/>
          <w:sz w:val="20"/>
          <w:szCs w:val="20"/>
        </w:rPr>
      </w:pPr>
      <w:r w:rsidRPr="00E131E9">
        <w:rPr>
          <w:rFonts w:ascii="Arial" w:hAnsi="Arial" w:cs="Arial"/>
          <w:sz w:val="20"/>
          <w:szCs w:val="20"/>
        </w:rPr>
        <w:t xml:space="preserve"> </w:t>
      </w:r>
    </w:p>
    <w:p w:rsidR="00367AFF" w:rsidRPr="000C5327" w:rsidRDefault="00367AFF" w:rsidP="00367AFF">
      <w:pPr>
        <w:widowControl w:val="0"/>
        <w:overflowPunct w:val="0"/>
        <w:autoSpaceDE w:val="0"/>
        <w:autoSpaceDN w:val="0"/>
        <w:adjustRightInd w:val="0"/>
        <w:jc w:val="both"/>
        <w:rPr>
          <w:rFonts w:ascii="Arial" w:hAnsi="Arial" w:cs="Arial"/>
          <w:b/>
          <w:sz w:val="20"/>
          <w:szCs w:val="20"/>
        </w:rPr>
      </w:pPr>
      <w:r w:rsidRPr="00DE4C02">
        <w:rPr>
          <w:rFonts w:ascii="Arial" w:hAnsi="Arial" w:cs="Arial"/>
          <w:b/>
          <w:sz w:val="20"/>
          <w:szCs w:val="20"/>
        </w:rPr>
        <w:t>PHFC K</w:t>
      </w:r>
      <w:r w:rsidR="00812B39">
        <w:rPr>
          <w:rFonts w:ascii="Arial" w:hAnsi="Arial" w:cs="Arial"/>
          <w:b/>
          <w:sz w:val="20"/>
          <w:szCs w:val="20"/>
        </w:rPr>
        <w:t>ey Performance Indicators</w:t>
      </w:r>
      <w:r>
        <w:rPr>
          <w:rFonts w:ascii="Arial" w:hAnsi="Arial" w:cs="Arial"/>
          <w:b/>
          <w:sz w:val="20"/>
          <w:szCs w:val="20"/>
        </w:rPr>
        <w:t xml:space="preserve"> </w:t>
      </w:r>
      <w:r w:rsidR="000C5327">
        <w:rPr>
          <w:rFonts w:ascii="Arial" w:hAnsi="Arial" w:cs="Arial"/>
          <w:b/>
          <w:sz w:val="20"/>
          <w:szCs w:val="20"/>
        </w:rPr>
        <w:t>and Operational Drivers</w:t>
      </w:r>
    </w:p>
    <w:tbl>
      <w:tblPr>
        <w:tblStyle w:val="TableGrid"/>
        <w:tblW w:w="0" w:type="auto"/>
        <w:tblLook w:val="04A0" w:firstRow="1" w:lastRow="0" w:firstColumn="1" w:lastColumn="0" w:noHBand="0" w:noVBand="1"/>
      </w:tblPr>
      <w:tblGrid>
        <w:gridCol w:w="3652"/>
        <w:gridCol w:w="1842"/>
        <w:gridCol w:w="1843"/>
        <w:gridCol w:w="1843"/>
      </w:tblGrid>
      <w:tr w:rsidR="00367AFF" w:rsidRPr="001D7885" w:rsidTr="00367AFF">
        <w:tc>
          <w:tcPr>
            <w:tcW w:w="3652" w:type="dxa"/>
          </w:tcPr>
          <w:p w:rsidR="00367AFF" w:rsidRPr="00DE4C02" w:rsidRDefault="00367AFF" w:rsidP="00367AFF">
            <w:pPr>
              <w:widowControl w:val="0"/>
              <w:autoSpaceDE w:val="0"/>
              <w:autoSpaceDN w:val="0"/>
              <w:adjustRightInd w:val="0"/>
              <w:spacing w:after="0" w:line="0" w:lineRule="atLeast"/>
              <w:rPr>
                <w:rFonts w:ascii="Arial" w:hAnsi="Arial" w:cs="Arial"/>
                <w:b/>
                <w:sz w:val="20"/>
                <w:szCs w:val="20"/>
              </w:rPr>
            </w:pPr>
            <w:r w:rsidRPr="00DE4C02">
              <w:rPr>
                <w:rFonts w:ascii="Arial" w:hAnsi="Arial" w:cs="Arial"/>
                <w:b/>
                <w:sz w:val="20"/>
                <w:szCs w:val="20"/>
              </w:rPr>
              <w:t xml:space="preserve">Year ended 31 March </w:t>
            </w:r>
          </w:p>
        </w:tc>
        <w:tc>
          <w:tcPr>
            <w:tcW w:w="1842" w:type="dxa"/>
          </w:tcPr>
          <w:p w:rsidR="00367AFF" w:rsidRPr="00DE4C02" w:rsidRDefault="00367AFF" w:rsidP="00367AFF">
            <w:pPr>
              <w:widowControl w:val="0"/>
              <w:autoSpaceDE w:val="0"/>
              <w:autoSpaceDN w:val="0"/>
              <w:adjustRightInd w:val="0"/>
              <w:spacing w:after="0" w:line="0" w:lineRule="atLeast"/>
              <w:jc w:val="right"/>
              <w:rPr>
                <w:rFonts w:ascii="Arial" w:hAnsi="Arial" w:cs="Arial"/>
                <w:b/>
                <w:sz w:val="20"/>
                <w:szCs w:val="20"/>
              </w:rPr>
            </w:pPr>
            <w:r w:rsidRPr="00DE4C02">
              <w:rPr>
                <w:rFonts w:ascii="Arial" w:hAnsi="Arial" w:cs="Arial"/>
                <w:b/>
                <w:sz w:val="20"/>
                <w:szCs w:val="20"/>
              </w:rPr>
              <w:t>2014</w:t>
            </w:r>
          </w:p>
        </w:tc>
        <w:tc>
          <w:tcPr>
            <w:tcW w:w="1843" w:type="dxa"/>
          </w:tcPr>
          <w:p w:rsidR="00367AFF" w:rsidRPr="00DE4C02" w:rsidRDefault="00367AFF" w:rsidP="00367AFF">
            <w:pPr>
              <w:widowControl w:val="0"/>
              <w:autoSpaceDE w:val="0"/>
              <w:autoSpaceDN w:val="0"/>
              <w:adjustRightInd w:val="0"/>
              <w:spacing w:after="0" w:line="0" w:lineRule="atLeast"/>
              <w:jc w:val="right"/>
              <w:rPr>
                <w:rFonts w:ascii="Arial" w:hAnsi="Arial" w:cs="Arial"/>
                <w:b/>
                <w:sz w:val="20"/>
                <w:szCs w:val="20"/>
              </w:rPr>
            </w:pPr>
            <w:r w:rsidRPr="00DE4C02">
              <w:rPr>
                <w:rFonts w:ascii="Arial" w:hAnsi="Arial" w:cs="Arial"/>
                <w:b/>
                <w:sz w:val="20"/>
                <w:szCs w:val="20"/>
              </w:rPr>
              <w:t>2013</w:t>
            </w:r>
          </w:p>
        </w:tc>
        <w:tc>
          <w:tcPr>
            <w:tcW w:w="1843" w:type="dxa"/>
          </w:tcPr>
          <w:p w:rsidR="00367AFF" w:rsidRPr="00DE4C02" w:rsidRDefault="00367AFF" w:rsidP="00367AFF">
            <w:pPr>
              <w:widowControl w:val="0"/>
              <w:autoSpaceDE w:val="0"/>
              <w:autoSpaceDN w:val="0"/>
              <w:adjustRightInd w:val="0"/>
              <w:spacing w:after="0" w:line="0" w:lineRule="atLeast"/>
              <w:jc w:val="right"/>
              <w:rPr>
                <w:rFonts w:ascii="Arial" w:hAnsi="Arial" w:cs="Arial"/>
                <w:b/>
                <w:sz w:val="20"/>
                <w:szCs w:val="20"/>
              </w:rPr>
            </w:pPr>
            <w:r w:rsidRPr="00DE4C02">
              <w:rPr>
                <w:rFonts w:ascii="Arial" w:hAnsi="Arial" w:cs="Arial"/>
                <w:b/>
                <w:sz w:val="20"/>
                <w:szCs w:val="20"/>
              </w:rPr>
              <w:t>2012</w:t>
            </w:r>
          </w:p>
        </w:tc>
      </w:tr>
      <w:tr w:rsidR="00367AFF" w:rsidRPr="001D7885" w:rsidTr="00367AFF">
        <w:tc>
          <w:tcPr>
            <w:tcW w:w="3652" w:type="dxa"/>
          </w:tcPr>
          <w:p w:rsidR="00367AFF" w:rsidRPr="001D7885" w:rsidRDefault="00367AFF" w:rsidP="00367AFF">
            <w:pPr>
              <w:widowControl w:val="0"/>
              <w:autoSpaceDE w:val="0"/>
              <w:autoSpaceDN w:val="0"/>
              <w:adjustRightInd w:val="0"/>
              <w:spacing w:after="0" w:line="0" w:lineRule="atLeast"/>
              <w:rPr>
                <w:rFonts w:ascii="Arial" w:hAnsi="Arial" w:cs="Arial"/>
                <w:sz w:val="20"/>
                <w:szCs w:val="20"/>
              </w:rPr>
            </w:pPr>
          </w:p>
        </w:tc>
        <w:tc>
          <w:tcPr>
            <w:tcW w:w="1842" w:type="dxa"/>
          </w:tcPr>
          <w:p w:rsidR="00367AFF" w:rsidRPr="001D7885"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tcPr>
          <w:p w:rsidR="00367AFF" w:rsidRPr="001D7885"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tcPr>
          <w:p w:rsidR="00367AFF" w:rsidRPr="001D7885" w:rsidRDefault="00367AFF" w:rsidP="00367AFF">
            <w:pPr>
              <w:widowControl w:val="0"/>
              <w:autoSpaceDE w:val="0"/>
              <w:autoSpaceDN w:val="0"/>
              <w:adjustRightInd w:val="0"/>
              <w:spacing w:after="0" w:line="0" w:lineRule="atLeast"/>
              <w:jc w:val="right"/>
              <w:rPr>
                <w:rFonts w:ascii="Arial" w:hAnsi="Arial" w:cs="Arial"/>
                <w:sz w:val="20"/>
                <w:szCs w:val="20"/>
              </w:rPr>
            </w:pPr>
          </w:p>
        </w:tc>
      </w:tr>
      <w:tr w:rsidR="00367AFF" w:rsidRPr="001D7885" w:rsidTr="00367AFF">
        <w:tc>
          <w:tcPr>
            <w:tcW w:w="3652" w:type="dxa"/>
          </w:tcPr>
          <w:p w:rsidR="00367AFF" w:rsidRDefault="00367AFF" w:rsidP="00367AFF">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Staff Numbers (  FTE at 31 March  )</w:t>
            </w:r>
          </w:p>
        </w:tc>
        <w:tc>
          <w:tcPr>
            <w:tcW w:w="1842"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37</w:t>
            </w:r>
          </w:p>
        </w:tc>
        <w:tc>
          <w:tcPr>
            <w:tcW w:w="1843"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35</w:t>
            </w:r>
          </w:p>
        </w:tc>
        <w:tc>
          <w:tcPr>
            <w:tcW w:w="1843"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35</w:t>
            </w:r>
          </w:p>
        </w:tc>
      </w:tr>
      <w:tr w:rsidR="00367AFF" w:rsidRPr="001D7885" w:rsidTr="00367AFF">
        <w:tc>
          <w:tcPr>
            <w:tcW w:w="3652" w:type="dxa"/>
          </w:tcPr>
          <w:p w:rsidR="00367AFF" w:rsidRDefault="00367AFF" w:rsidP="00367AFF">
            <w:pPr>
              <w:widowControl w:val="0"/>
              <w:autoSpaceDE w:val="0"/>
              <w:autoSpaceDN w:val="0"/>
              <w:adjustRightInd w:val="0"/>
              <w:spacing w:after="0" w:line="0" w:lineRule="atLeast"/>
              <w:rPr>
                <w:rFonts w:ascii="Arial" w:hAnsi="Arial" w:cs="Arial"/>
                <w:sz w:val="20"/>
                <w:szCs w:val="20"/>
              </w:rPr>
            </w:pPr>
          </w:p>
        </w:tc>
        <w:tc>
          <w:tcPr>
            <w:tcW w:w="1842"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p>
        </w:tc>
      </w:tr>
      <w:tr w:rsidR="00367AFF" w:rsidRPr="001D7885" w:rsidTr="00367AFF">
        <w:tc>
          <w:tcPr>
            <w:tcW w:w="3652" w:type="dxa"/>
          </w:tcPr>
          <w:p w:rsidR="00367AFF" w:rsidRDefault="00367AFF" w:rsidP="00367AFF">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 xml:space="preserve">Capital Expenditure £ ‘ 000’s </w:t>
            </w:r>
          </w:p>
        </w:tc>
        <w:tc>
          <w:tcPr>
            <w:tcW w:w="1842"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1,958</w:t>
            </w:r>
          </w:p>
        </w:tc>
        <w:tc>
          <w:tcPr>
            <w:tcW w:w="1843"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223</w:t>
            </w:r>
          </w:p>
        </w:tc>
        <w:tc>
          <w:tcPr>
            <w:tcW w:w="1843"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5,080</w:t>
            </w:r>
          </w:p>
        </w:tc>
      </w:tr>
      <w:tr w:rsidR="00367AFF" w:rsidRPr="001D7885" w:rsidTr="00367AFF">
        <w:tc>
          <w:tcPr>
            <w:tcW w:w="3652" w:type="dxa"/>
          </w:tcPr>
          <w:p w:rsidR="00367AFF" w:rsidRDefault="00367AFF" w:rsidP="00367AFF">
            <w:pPr>
              <w:widowControl w:val="0"/>
              <w:autoSpaceDE w:val="0"/>
              <w:autoSpaceDN w:val="0"/>
              <w:adjustRightInd w:val="0"/>
              <w:spacing w:after="0" w:line="0" w:lineRule="atLeast"/>
              <w:rPr>
                <w:rFonts w:ascii="Arial" w:hAnsi="Arial" w:cs="Arial"/>
                <w:sz w:val="20"/>
                <w:szCs w:val="20"/>
              </w:rPr>
            </w:pPr>
          </w:p>
        </w:tc>
        <w:tc>
          <w:tcPr>
            <w:tcW w:w="1842"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p>
        </w:tc>
      </w:tr>
      <w:tr w:rsidR="00367AFF" w:rsidRPr="001D7885" w:rsidTr="00367AFF">
        <w:tc>
          <w:tcPr>
            <w:tcW w:w="3652" w:type="dxa"/>
          </w:tcPr>
          <w:p w:rsidR="00367AFF" w:rsidRDefault="00367AFF" w:rsidP="00367AFF">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Ferry Reliability( on time departures)</w:t>
            </w:r>
          </w:p>
        </w:tc>
        <w:tc>
          <w:tcPr>
            <w:tcW w:w="1842"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99.7%</w:t>
            </w:r>
          </w:p>
        </w:tc>
        <w:tc>
          <w:tcPr>
            <w:tcW w:w="1843"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99.5%</w:t>
            </w:r>
          </w:p>
        </w:tc>
        <w:tc>
          <w:tcPr>
            <w:tcW w:w="1843"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99.9%</w:t>
            </w:r>
          </w:p>
        </w:tc>
      </w:tr>
      <w:tr w:rsidR="00367AFF" w:rsidRPr="001D7885" w:rsidTr="00367AFF">
        <w:tc>
          <w:tcPr>
            <w:tcW w:w="3652" w:type="dxa"/>
          </w:tcPr>
          <w:p w:rsidR="00367AFF" w:rsidRDefault="00367AFF" w:rsidP="00367AFF">
            <w:pPr>
              <w:widowControl w:val="0"/>
              <w:autoSpaceDE w:val="0"/>
              <w:autoSpaceDN w:val="0"/>
              <w:adjustRightInd w:val="0"/>
              <w:spacing w:after="0" w:line="0" w:lineRule="atLeast"/>
              <w:rPr>
                <w:rFonts w:ascii="Arial" w:hAnsi="Arial" w:cs="Arial"/>
                <w:sz w:val="20"/>
                <w:szCs w:val="20"/>
              </w:rPr>
            </w:pPr>
          </w:p>
        </w:tc>
        <w:tc>
          <w:tcPr>
            <w:tcW w:w="1842"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tcPr>
          <w:p w:rsidR="00367AFF" w:rsidRDefault="00367AFF" w:rsidP="00367AFF">
            <w:pPr>
              <w:widowControl w:val="0"/>
              <w:autoSpaceDE w:val="0"/>
              <w:autoSpaceDN w:val="0"/>
              <w:adjustRightInd w:val="0"/>
              <w:spacing w:after="0" w:line="0" w:lineRule="atLeast"/>
              <w:jc w:val="right"/>
              <w:rPr>
                <w:rFonts w:ascii="Arial" w:hAnsi="Arial" w:cs="Arial"/>
                <w:sz w:val="20"/>
                <w:szCs w:val="20"/>
              </w:rPr>
            </w:pPr>
          </w:p>
        </w:tc>
      </w:tr>
      <w:tr w:rsidR="00367AFF" w:rsidRPr="001D7885" w:rsidTr="00367AFF">
        <w:tc>
          <w:tcPr>
            <w:tcW w:w="3652" w:type="dxa"/>
          </w:tcPr>
          <w:p w:rsidR="00367AFF" w:rsidRPr="001D7885" w:rsidRDefault="00367AFF" w:rsidP="00367AFF">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Number of we</w:t>
            </w:r>
            <w:r w:rsidRPr="001D7885">
              <w:rPr>
                <w:rFonts w:ascii="Arial" w:hAnsi="Arial" w:cs="Arial"/>
                <w:sz w:val="20"/>
                <w:szCs w:val="20"/>
              </w:rPr>
              <w:t xml:space="preserve">ekday </w:t>
            </w:r>
            <w:r>
              <w:rPr>
                <w:rFonts w:ascii="Arial" w:hAnsi="Arial" w:cs="Arial"/>
                <w:sz w:val="20"/>
                <w:szCs w:val="20"/>
              </w:rPr>
              <w:t>passengers ‘000</w:t>
            </w:r>
          </w:p>
        </w:tc>
        <w:tc>
          <w:tcPr>
            <w:tcW w:w="1842" w:type="dxa"/>
          </w:tcPr>
          <w:p w:rsidR="00367AFF" w:rsidRPr="001D7885" w:rsidRDefault="00367AFF" w:rsidP="00367AFF">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2,169</w:t>
            </w:r>
          </w:p>
        </w:tc>
        <w:tc>
          <w:tcPr>
            <w:tcW w:w="1843" w:type="dxa"/>
          </w:tcPr>
          <w:p w:rsidR="00367AFF" w:rsidRPr="001D7885" w:rsidRDefault="00367AFF" w:rsidP="00367AFF">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2,230</w:t>
            </w:r>
          </w:p>
        </w:tc>
        <w:tc>
          <w:tcPr>
            <w:tcW w:w="1843" w:type="dxa"/>
          </w:tcPr>
          <w:p w:rsidR="00367AFF" w:rsidRPr="001D7885" w:rsidRDefault="00367AFF" w:rsidP="00367AFF">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2,497</w:t>
            </w:r>
          </w:p>
        </w:tc>
      </w:tr>
      <w:tr w:rsidR="00367AFF" w:rsidRPr="001D7885" w:rsidTr="00367AFF">
        <w:trPr>
          <w:trHeight w:val="124"/>
        </w:trPr>
        <w:tc>
          <w:tcPr>
            <w:tcW w:w="3652" w:type="dxa"/>
          </w:tcPr>
          <w:p w:rsidR="00367AFF" w:rsidRPr="001D7885" w:rsidRDefault="00367AFF" w:rsidP="00367AFF">
            <w:pPr>
              <w:widowControl w:val="0"/>
              <w:autoSpaceDE w:val="0"/>
              <w:autoSpaceDN w:val="0"/>
              <w:adjustRightInd w:val="0"/>
              <w:spacing w:after="0" w:line="0" w:lineRule="atLeast"/>
              <w:rPr>
                <w:rFonts w:ascii="Arial" w:hAnsi="Arial" w:cs="Arial"/>
                <w:sz w:val="20"/>
                <w:szCs w:val="20"/>
              </w:rPr>
            </w:pPr>
            <w:r w:rsidRPr="001D7885">
              <w:rPr>
                <w:rFonts w:ascii="Arial" w:hAnsi="Arial" w:cs="Arial"/>
                <w:sz w:val="20"/>
                <w:szCs w:val="20"/>
              </w:rPr>
              <w:t>% change on prior year</w:t>
            </w:r>
          </w:p>
        </w:tc>
        <w:tc>
          <w:tcPr>
            <w:tcW w:w="1842"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r w:rsidRPr="00767A96">
              <w:rPr>
                <w:rFonts w:cs="Calibri"/>
                <w:i/>
                <w:iCs/>
              </w:rPr>
              <w:t>-2.7%</w:t>
            </w: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r w:rsidRPr="00767A96">
              <w:rPr>
                <w:rFonts w:cs="Calibri"/>
                <w:i/>
                <w:iCs/>
              </w:rPr>
              <w:t>-10.7%</w:t>
            </w: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r w:rsidRPr="00767A96">
              <w:rPr>
                <w:rFonts w:cs="Calibri"/>
                <w:i/>
                <w:iCs/>
              </w:rPr>
              <w:t>-1.6%</w:t>
            </w:r>
          </w:p>
        </w:tc>
      </w:tr>
      <w:tr w:rsidR="00367AFF" w:rsidRPr="001D7885" w:rsidTr="00367AFF">
        <w:tc>
          <w:tcPr>
            <w:tcW w:w="3652" w:type="dxa"/>
          </w:tcPr>
          <w:p w:rsidR="00367AFF" w:rsidRPr="001D7885" w:rsidRDefault="00367AFF" w:rsidP="00367AFF">
            <w:pPr>
              <w:widowControl w:val="0"/>
              <w:autoSpaceDE w:val="0"/>
              <w:autoSpaceDN w:val="0"/>
              <w:adjustRightInd w:val="0"/>
              <w:spacing w:after="0" w:line="0" w:lineRule="atLeast"/>
              <w:rPr>
                <w:rFonts w:ascii="Arial" w:hAnsi="Arial" w:cs="Arial"/>
                <w:sz w:val="20"/>
                <w:szCs w:val="20"/>
              </w:rPr>
            </w:pPr>
          </w:p>
        </w:tc>
        <w:tc>
          <w:tcPr>
            <w:tcW w:w="1842"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r>
      <w:tr w:rsidR="00367AFF" w:rsidRPr="001D7885" w:rsidTr="00367AFF">
        <w:tc>
          <w:tcPr>
            <w:tcW w:w="3652" w:type="dxa"/>
          </w:tcPr>
          <w:p w:rsidR="00367AFF" w:rsidRPr="001D7885" w:rsidRDefault="00367AFF" w:rsidP="00367AFF">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Number of weekend passengers ‘000</w:t>
            </w:r>
          </w:p>
        </w:tc>
        <w:tc>
          <w:tcPr>
            <w:tcW w:w="1842" w:type="dxa"/>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817</w:t>
            </w:r>
          </w:p>
        </w:tc>
        <w:tc>
          <w:tcPr>
            <w:tcW w:w="1843" w:type="dxa"/>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803</w:t>
            </w:r>
          </w:p>
        </w:tc>
        <w:tc>
          <w:tcPr>
            <w:tcW w:w="1843" w:type="dxa"/>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831</w:t>
            </w:r>
          </w:p>
        </w:tc>
      </w:tr>
      <w:tr w:rsidR="00367AFF" w:rsidRPr="001D7885" w:rsidTr="00367AFF">
        <w:tc>
          <w:tcPr>
            <w:tcW w:w="3652" w:type="dxa"/>
          </w:tcPr>
          <w:p w:rsidR="00367AFF" w:rsidRPr="001D7885" w:rsidRDefault="00367AFF" w:rsidP="00367AFF">
            <w:pPr>
              <w:widowControl w:val="0"/>
              <w:autoSpaceDE w:val="0"/>
              <w:autoSpaceDN w:val="0"/>
              <w:adjustRightInd w:val="0"/>
              <w:spacing w:after="0" w:line="0" w:lineRule="atLeast"/>
              <w:rPr>
                <w:rFonts w:ascii="Arial" w:hAnsi="Arial" w:cs="Arial"/>
                <w:sz w:val="20"/>
                <w:szCs w:val="20"/>
              </w:rPr>
            </w:pPr>
            <w:r w:rsidRPr="001D7885">
              <w:rPr>
                <w:rFonts w:ascii="Arial" w:hAnsi="Arial" w:cs="Arial"/>
                <w:sz w:val="20"/>
                <w:szCs w:val="20"/>
              </w:rPr>
              <w:t>% change on prior year</w:t>
            </w:r>
          </w:p>
        </w:tc>
        <w:tc>
          <w:tcPr>
            <w:tcW w:w="1842"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r w:rsidRPr="00767A96">
              <w:rPr>
                <w:rFonts w:cs="Calibri"/>
                <w:i/>
                <w:iCs/>
              </w:rPr>
              <w:t>1.8%</w:t>
            </w: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r w:rsidRPr="00767A96">
              <w:rPr>
                <w:rFonts w:cs="Calibri"/>
                <w:i/>
                <w:iCs/>
              </w:rPr>
              <w:t>-3.4%</w:t>
            </w: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r w:rsidRPr="00767A96">
              <w:rPr>
                <w:rFonts w:cs="Calibri"/>
                <w:i/>
                <w:iCs/>
              </w:rPr>
              <w:t>-4.1%</w:t>
            </w:r>
          </w:p>
        </w:tc>
      </w:tr>
      <w:tr w:rsidR="00367AFF" w:rsidRPr="001D7885" w:rsidTr="00367AFF">
        <w:tc>
          <w:tcPr>
            <w:tcW w:w="3652" w:type="dxa"/>
          </w:tcPr>
          <w:p w:rsidR="00367AFF" w:rsidRPr="001D7885" w:rsidRDefault="00367AFF" w:rsidP="00367AFF">
            <w:pPr>
              <w:widowControl w:val="0"/>
              <w:autoSpaceDE w:val="0"/>
              <w:autoSpaceDN w:val="0"/>
              <w:adjustRightInd w:val="0"/>
              <w:spacing w:after="0" w:line="0" w:lineRule="atLeast"/>
              <w:rPr>
                <w:rFonts w:ascii="Arial" w:hAnsi="Arial" w:cs="Arial"/>
                <w:sz w:val="20"/>
                <w:szCs w:val="20"/>
              </w:rPr>
            </w:pPr>
          </w:p>
        </w:tc>
        <w:tc>
          <w:tcPr>
            <w:tcW w:w="1842"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r>
      <w:tr w:rsidR="00367AFF" w:rsidRPr="001D7885" w:rsidTr="00367AFF">
        <w:tc>
          <w:tcPr>
            <w:tcW w:w="3652" w:type="dxa"/>
          </w:tcPr>
          <w:p w:rsidR="00367AFF" w:rsidRPr="00DE4C02" w:rsidRDefault="00367AFF" w:rsidP="00367AFF">
            <w:pPr>
              <w:widowControl w:val="0"/>
              <w:autoSpaceDE w:val="0"/>
              <w:autoSpaceDN w:val="0"/>
              <w:adjustRightInd w:val="0"/>
              <w:spacing w:after="0" w:line="0" w:lineRule="atLeast"/>
              <w:rPr>
                <w:rFonts w:ascii="Arial" w:hAnsi="Arial" w:cs="Arial"/>
                <w:b/>
                <w:sz w:val="20"/>
                <w:szCs w:val="20"/>
              </w:rPr>
            </w:pPr>
            <w:r w:rsidRPr="00DE4C02">
              <w:rPr>
                <w:rFonts w:ascii="Arial" w:hAnsi="Arial" w:cs="Arial"/>
                <w:b/>
                <w:sz w:val="20"/>
                <w:szCs w:val="20"/>
              </w:rPr>
              <w:t>Total number of passengers ‘000</w:t>
            </w:r>
            <w:r>
              <w:rPr>
                <w:rFonts w:ascii="Arial" w:hAnsi="Arial" w:cs="Arial"/>
                <w:b/>
                <w:sz w:val="20"/>
                <w:szCs w:val="20"/>
              </w:rPr>
              <w:t>’s</w:t>
            </w:r>
          </w:p>
        </w:tc>
        <w:tc>
          <w:tcPr>
            <w:tcW w:w="1842" w:type="dxa"/>
          </w:tcPr>
          <w:p w:rsidR="00367AFF" w:rsidRPr="00767A96" w:rsidRDefault="00367AFF" w:rsidP="00367AFF">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2,986</w:t>
            </w:r>
          </w:p>
        </w:tc>
        <w:tc>
          <w:tcPr>
            <w:tcW w:w="1843" w:type="dxa"/>
          </w:tcPr>
          <w:p w:rsidR="00367AFF" w:rsidRPr="00767A96" w:rsidRDefault="00367AFF" w:rsidP="00367AFF">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3,033</w:t>
            </w:r>
          </w:p>
        </w:tc>
        <w:tc>
          <w:tcPr>
            <w:tcW w:w="1843" w:type="dxa"/>
          </w:tcPr>
          <w:p w:rsidR="00367AFF" w:rsidRPr="00767A96" w:rsidRDefault="00367AFF" w:rsidP="00367AFF">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3,328</w:t>
            </w:r>
          </w:p>
        </w:tc>
      </w:tr>
      <w:tr w:rsidR="00367AFF" w:rsidRPr="001D7885" w:rsidTr="00367AFF">
        <w:tc>
          <w:tcPr>
            <w:tcW w:w="3652" w:type="dxa"/>
          </w:tcPr>
          <w:p w:rsidR="00367AFF" w:rsidRPr="001D7885" w:rsidRDefault="00367AFF" w:rsidP="00367AFF">
            <w:pPr>
              <w:widowControl w:val="0"/>
              <w:autoSpaceDE w:val="0"/>
              <w:autoSpaceDN w:val="0"/>
              <w:adjustRightInd w:val="0"/>
              <w:spacing w:after="0" w:line="0" w:lineRule="atLeast"/>
              <w:rPr>
                <w:rFonts w:ascii="Arial" w:hAnsi="Arial" w:cs="Arial"/>
                <w:sz w:val="20"/>
                <w:szCs w:val="20"/>
              </w:rPr>
            </w:pPr>
            <w:r w:rsidRPr="001D7885">
              <w:rPr>
                <w:rFonts w:ascii="Arial" w:hAnsi="Arial" w:cs="Arial"/>
                <w:sz w:val="20"/>
                <w:szCs w:val="20"/>
              </w:rPr>
              <w:t>% change on prior year</w:t>
            </w:r>
          </w:p>
        </w:tc>
        <w:tc>
          <w:tcPr>
            <w:tcW w:w="1842"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-1.6%</w:t>
            </w: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-8.9%</w:t>
            </w: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-2.1%</w:t>
            </w:r>
          </w:p>
        </w:tc>
      </w:tr>
      <w:tr w:rsidR="00367AFF" w:rsidRPr="001D7885" w:rsidTr="00367AFF">
        <w:tc>
          <w:tcPr>
            <w:tcW w:w="3652" w:type="dxa"/>
          </w:tcPr>
          <w:p w:rsidR="00367AFF" w:rsidRPr="001D7885" w:rsidRDefault="00367AFF" w:rsidP="00367AFF">
            <w:pPr>
              <w:widowControl w:val="0"/>
              <w:autoSpaceDE w:val="0"/>
              <w:autoSpaceDN w:val="0"/>
              <w:adjustRightInd w:val="0"/>
              <w:spacing w:after="0" w:line="0" w:lineRule="atLeast"/>
              <w:rPr>
                <w:rFonts w:ascii="Arial" w:hAnsi="Arial" w:cs="Arial"/>
                <w:sz w:val="20"/>
                <w:szCs w:val="20"/>
              </w:rPr>
            </w:pPr>
          </w:p>
        </w:tc>
        <w:tc>
          <w:tcPr>
            <w:tcW w:w="1842"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r>
      <w:tr w:rsidR="00367AFF" w:rsidRPr="001D7885" w:rsidTr="00367AFF">
        <w:tc>
          <w:tcPr>
            <w:tcW w:w="3652" w:type="dxa"/>
          </w:tcPr>
          <w:p w:rsidR="00367AFF" w:rsidRPr="001D7885" w:rsidRDefault="00367AFF" w:rsidP="00367AFF">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 xml:space="preserve">Revenue </w:t>
            </w:r>
            <w:r w:rsidRPr="001D7885">
              <w:rPr>
                <w:rFonts w:ascii="Arial" w:hAnsi="Arial" w:cs="Arial"/>
                <w:sz w:val="20"/>
                <w:szCs w:val="20"/>
              </w:rPr>
              <w:t xml:space="preserve"> growth %</w:t>
            </w:r>
          </w:p>
        </w:tc>
        <w:tc>
          <w:tcPr>
            <w:tcW w:w="1842"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1.2%</w:t>
            </w: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-1.9%</w:t>
            </w: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i/>
                <w:sz w:val="20"/>
                <w:szCs w:val="20"/>
              </w:rPr>
            </w:pPr>
            <w:r w:rsidRPr="00767A96">
              <w:rPr>
                <w:rFonts w:ascii="Arial" w:hAnsi="Arial" w:cs="Arial"/>
                <w:i/>
                <w:sz w:val="20"/>
                <w:szCs w:val="20"/>
              </w:rPr>
              <w:t>11.5%</w:t>
            </w:r>
          </w:p>
        </w:tc>
      </w:tr>
      <w:tr w:rsidR="00367AFF" w:rsidRPr="001D7885" w:rsidTr="00367AFF">
        <w:tc>
          <w:tcPr>
            <w:tcW w:w="3652" w:type="dxa"/>
          </w:tcPr>
          <w:p w:rsidR="00367AFF" w:rsidRDefault="00367AFF" w:rsidP="00367AFF">
            <w:pPr>
              <w:widowControl w:val="0"/>
              <w:autoSpaceDE w:val="0"/>
              <w:autoSpaceDN w:val="0"/>
              <w:adjustRightInd w:val="0"/>
              <w:spacing w:after="0" w:line="0" w:lineRule="atLeast"/>
              <w:rPr>
                <w:rFonts w:ascii="Arial" w:hAnsi="Arial" w:cs="Arial"/>
                <w:sz w:val="20"/>
                <w:szCs w:val="20"/>
              </w:rPr>
            </w:pPr>
          </w:p>
        </w:tc>
        <w:tc>
          <w:tcPr>
            <w:tcW w:w="1842"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p>
        </w:tc>
      </w:tr>
      <w:tr w:rsidR="00367AFF" w:rsidRPr="001D7885" w:rsidTr="00367AFF">
        <w:tc>
          <w:tcPr>
            <w:tcW w:w="3652" w:type="dxa"/>
          </w:tcPr>
          <w:p w:rsidR="00367AFF" w:rsidRDefault="00367AFF" w:rsidP="00367AFF">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 xml:space="preserve">Average yield per passenger journey </w:t>
            </w:r>
          </w:p>
        </w:tc>
        <w:tc>
          <w:tcPr>
            <w:tcW w:w="1842"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£1.32</w:t>
            </w: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£1.28</w:t>
            </w:r>
          </w:p>
        </w:tc>
        <w:tc>
          <w:tcPr>
            <w:tcW w:w="1843" w:type="dxa"/>
            <w:vAlign w:val="bottom"/>
          </w:tcPr>
          <w:p w:rsidR="00367AFF" w:rsidRPr="00767A96" w:rsidRDefault="00367AFF" w:rsidP="00367AFF">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£1.19</w:t>
            </w:r>
          </w:p>
        </w:tc>
      </w:tr>
      <w:tr w:rsidR="00367AFF" w:rsidRPr="001D7885" w:rsidTr="00367AFF">
        <w:tc>
          <w:tcPr>
            <w:tcW w:w="3652" w:type="dxa"/>
          </w:tcPr>
          <w:p w:rsidR="00367AFF" w:rsidRDefault="00367AFF" w:rsidP="00367AFF">
            <w:pPr>
              <w:widowControl w:val="0"/>
              <w:autoSpaceDE w:val="0"/>
              <w:autoSpaceDN w:val="0"/>
              <w:adjustRightInd w:val="0"/>
              <w:spacing w:after="0" w:line="0" w:lineRule="atLeast"/>
              <w:rPr>
                <w:rFonts w:ascii="Arial" w:hAnsi="Arial" w:cs="Arial"/>
                <w:sz w:val="20"/>
                <w:szCs w:val="20"/>
              </w:rPr>
            </w:pPr>
          </w:p>
        </w:tc>
        <w:tc>
          <w:tcPr>
            <w:tcW w:w="1842" w:type="dxa"/>
            <w:vAlign w:val="bottom"/>
          </w:tcPr>
          <w:p w:rsidR="00367AFF" w:rsidRPr="001D7885" w:rsidRDefault="00367AFF" w:rsidP="00367AFF">
            <w:pPr>
              <w:widowControl w:val="0"/>
              <w:autoSpaceDE w:val="0"/>
              <w:autoSpaceDN w:val="0"/>
              <w:adjustRightInd w:val="0"/>
              <w:spacing w:after="0" w:line="0" w:lineRule="atLeast"/>
              <w:jc w:val="right"/>
              <w:rPr>
                <w:rFonts w:ascii="Arial" w:hAnsi="Arial" w:cs="Arial"/>
                <w:color w:val="FF0000"/>
                <w:sz w:val="20"/>
                <w:szCs w:val="20"/>
              </w:rPr>
            </w:pPr>
          </w:p>
        </w:tc>
        <w:tc>
          <w:tcPr>
            <w:tcW w:w="1843" w:type="dxa"/>
            <w:vAlign w:val="bottom"/>
          </w:tcPr>
          <w:p w:rsidR="00367AFF" w:rsidRPr="001D7885" w:rsidRDefault="00367AFF" w:rsidP="00367AFF">
            <w:pPr>
              <w:widowControl w:val="0"/>
              <w:autoSpaceDE w:val="0"/>
              <w:autoSpaceDN w:val="0"/>
              <w:adjustRightInd w:val="0"/>
              <w:spacing w:after="0" w:line="0" w:lineRule="atLeast"/>
              <w:jc w:val="right"/>
              <w:rPr>
                <w:rFonts w:ascii="Arial" w:hAnsi="Arial" w:cs="Arial"/>
                <w:color w:val="FF0000"/>
                <w:sz w:val="20"/>
                <w:szCs w:val="20"/>
              </w:rPr>
            </w:pPr>
          </w:p>
        </w:tc>
        <w:tc>
          <w:tcPr>
            <w:tcW w:w="1843" w:type="dxa"/>
            <w:vAlign w:val="bottom"/>
          </w:tcPr>
          <w:p w:rsidR="00367AFF" w:rsidRPr="001D7885" w:rsidRDefault="00367AFF" w:rsidP="00367AFF">
            <w:pPr>
              <w:widowControl w:val="0"/>
              <w:autoSpaceDE w:val="0"/>
              <w:autoSpaceDN w:val="0"/>
              <w:adjustRightInd w:val="0"/>
              <w:spacing w:after="0" w:line="0" w:lineRule="atLeast"/>
              <w:jc w:val="right"/>
              <w:rPr>
                <w:rFonts w:ascii="Arial" w:hAnsi="Arial" w:cs="Arial"/>
                <w:color w:val="FF0000"/>
                <w:sz w:val="20"/>
                <w:szCs w:val="20"/>
              </w:rPr>
            </w:pPr>
          </w:p>
        </w:tc>
      </w:tr>
    </w:tbl>
    <w:p w:rsidR="00767A96" w:rsidRDefault="00767A96" w:rsidP="00367AFF">
      <w:pPr>
        <w:widowControl w:val="0"/>
        <w:overflowPunct w:val="0"/>
        <w:autoSpaceDE w:val="0"/>
        <w:autoSpaceDN w:val="0"/>
        <w:adjustRightInd w:val="0"/>
        <w:jc w:val="both"/>
        <w:rPr>
          <w:rFonts w:ascii="Arial" w:hAnsi="Arial" w:cs="Arial"/>
          <w:sz w:val="20"/>
          <w:szCs w:val="20"/>
        </w:rPr>
      </w:pPr>
    </w:p>
    <w:p w:rsidR="00767A96" w:rsidRDefault="00767A96">
      <w:pPr>
        <w:spacing w:after="0" w:line="240" w:lineRule="auto"/>
        <w:rPr>
          <w:rFonts w:ascii="Arial" w:hAnsi="Arial" w:cs="Arial"/>
          <w:sz w:val="20"/>
          <w:szCs w:val="20"/>
        </w:rPr>
      </w:pPr>
      <w:r>
        <w:rPr>
          <w:rFonts w:ascii="Arial" w:hAnsi="Arial" w:cs="Arial"/>
          <w:sz w:val="20"/>
          <w:szCs w:val="20"/>
        </w:rPr>
        <w:br w:type="page"/>
      </w:r>
    </w:p>
    <w:p w:rsidR="004B7139" w:rsidRDefault="004B7139" w:rsidP="00367AFF">
      <w:pPr>
        <w:widowControl w:val="0"/>
        <w:autoSpaceDE w:val="0"/>
        <w:autoSpaceDN w:val="0"/>
        <w:adjustRightInd w:val="0"/>
        <w:rPr>
          <w:rFonts w:ascii="Arial" w:hAnsi="Arial" w:cs="Arial"/>
          <w:b/>
          <w:bCs/>
          <w:sz w:val="20"/>
          <w:szCs w:val="20"/>
        </w:rPr>
      </w:pPr>
    </w:p>
    <w:p w:rsidR="00367AFF" w:rsidRPr="00E131E9" w:rsidRDefault="00367AFF" w:rsidP="00367AFF">
      <w:pPr>
        <w:widowControl w:val="0"/>
        <w:autoSpaceDE w:val="0"/>
        <w:autoSpaceDN w:val="0"/>
        <w:adjustRightInd w:val="0"/>
        <w:rPr>
          <w:rFonts w:ascii="Arial" w:hAnsi="Arial" w:cs="Arial"/>
          <w:sz w:val="20"/>
          <w:szCs w:val="20"/>
        </w:rPr>
      </w:pPr>
      <w:proofErr w:type="spellStart"/>
      <w:r w:rsidRPr="00E131E9">
        <w:rPr>
          <w:rFonts w:ascii="Arial" w:hAnsi="Arial" w:cs="Arial"/>
          <w:b/>
          <w:bCs/>
          <w:sz w:val="20"/>
          <w:szCs w:val="20"/>
        </w:rPr>
        <w:t>Momart</w:t>
      </w:r>
      <w:proofErr w:type="spellEnd"/>
    </w:p>
    <w:p w:rsidR="00367AFF" w:rsidRPr="00B06AC4" w:rsidRDefault="00367AFF" w:rsidP="000C5327">
      <w:pPr>
        <w:widowControl w:val="0"/>
        <w:overflowPunct w:val="0"/>
        <w:autoSpaceDE w:val="0"/>
        <w:autoSpaceDN w:val="0"/>
        <w:adjustRightInd w:val="0"/>
        <w:jc w:val="both"/>
        <w:rPr>
          <w:rFonts w:ascii="Arial" w:hAnsi="Arial" w:cs="Arial"/>
          <w:sz w:val="20"/>
          <w:szCs w:val="20"/>
        </w:rPr>
      </w:pPr>
      <w:proofErr w:type="spellStart"/>
      <w:r w:rsidRPr="00E131E9">
        <w:rPr>
          <w:rFonts w:ascii="Arial" w:hAnsi="Arial" w:cs="Arial"/>
          <w:sz w:val="20"/>
          <w:szCs w:val="20"/>
        </w:rPr>
        <w:t>Momart</w:t>
      </w:r>
      <w:proofErr w:type="spellEnd"/>
      <w:r w:rsidRPr="00E131E9">
        <w:rPr>
          <w:rFonts w:ascii="Arial" w:hAnsi="Arial" w:cs="Arial"/>
          <w:sz w:val="20"/>
          <w:szCs w:val="20"/>
        </w:rPr>
        <w:t>, the Group’s art handling and logistics</w:t>
      </w:r>
      <w:r>
        <w:rPr>
          <w:rFonts w:ascii="Arial" w:hAnsi="Arial" w:cs="Arial"/>
          <w:sz w:val="20"/>
          <w:szCs w:val="20"/>
        </w:rPr>
        <w:t xml:space="preserve"> </w:t>
      </w:r>
      <w:proofErr w:type="gramStart"/>
      <w:r w:rsidRPr="00E131E9">
        <w:rPr>
          <w:rFonts w:ascii="Arial" w:hAnsi="Arial" w:cs="Arial"/>
          <w:sz w:val="20"/>
          <w:szCs w:val="20"/>
        </w:rPr>
        <w:t>business</w:t>
      </w:r>
      <w:r>
        <w:rPr>
          <w:rFonts w:ascii="Arial" w:hAnsi="Arial" w:cs="Arial"/>
          <w:sz w:val="20"/>
          <w:szCs w:val="20"/>
        </w:rPr>
        <w:t>,</w:t>
      </w:r>
      <w:proofErr w:type="gramEnd"/>
      <w:r>
        <w:rPr>
          <w:rFonts w:ascii="Arial" w:hAnsi="Arial" w:cs="Arial"/>
          <w:sz w:val="20"/>
          <w:szCs w:val="20"/>
        </w:rPr>
        <w:t xml:space="preserve"> </w:t>
      </w:r>
      <w:r w:rsidRPr="00E131E9">
        <w:rPr>
          <w:rFonts w:ascii="Arial" w:hAnsi="Arial" w:cs="Arial"/>
          <w:sz w:val="20"/>
          <w:szCs w:val="20"/>
        </w:rPr>
        <w:t xml:space="preserve">again produced a strong trading performance. </w:t>
      </w:r>
      <w:r w:rsidR="008824D2">
        <w:rPr>
          <w:rFonts w:ascii="Arial" w:hAnsi="Arial" w:cs="Arial"/>
          <w:sz w:val="20"/>
          <w:szCs w:val="20"/>
        </w:rPr>
        <w:t xml:space="preserve"> </w:t>
      </w:r>
      <w:r w:rsidRPr="00E131E9">
        <w:rPr>
          <w:rFonts w:ascii="Arial" w:hAnsi="Arial" w:cs="Arial"/>
          <w:sz w:val="20"/>
          <w:szCs w:val="20"/>
        </w:rPr>
        <w:t xml:space="preserve">The growth seen in the first half of the year continued into </w:t>
      </w:r>
      <w:r>
        <w:rPr>
          <w:rFonts w:ascii="Arial" w:hAnsi="Arial" w:cs="Arial"/>
          <w:sz w:val="20"/>
          <w:szCs w:val="20"/>
        </w:rPr>
        <w:t>the second half</w:t>
      </w:r>
      <w:r w:rsidRPr="00E131E9">
        <w:rPr>
          <w:rFonts w:ascii="Arial" w:hAnsi="Arial" w:cs="Arial"/>
          <w:sz w:val="20"/>
          <w:szCs w:val="20"/>
        </w:rPr>
        <w:t xml:space="preserve"> and total revenue for the year increased by </w:t>
      </w:r>
      <w:r>
        <w:rPr>
          <w:rFonts w:ascii="Arial" w:hAnsi="Arial" w:cs="Arial"/>
          <w:sz w:val="20"/>
          <w:szCs w:val="20"/>
        </w:rPr>
        <w:t>12.0</w:t>
      </w:r>
      <w:r w:rsidRPr="00E131E9">
        <w:rPr>
          <w:rFonts w:ascii="Arial" w:hAnsi="Arial" w:cs="Arial"/>
          <w:sz w:val="20"/>
          <w:szCs w:val="20"/>
        </w:rPr>
        <w:t>% to £1</w:t>
      </w:r>
      <w:r>
        <w:rPr>
          <w:rFonts w:ascii="Arial" w:hAnsi="Arial" w:cs="Arial"/>
          <w:sz w:val="20"/>
          <w:szCs w:val="20"/>
        </w:rPr>
        <w:t xml:space="preserve">8.3 </w:t>
      </w:r>
      <w:r w:rsidRPr="00E131E9">
        <w:rPr>
          <w:rFonts w:ascii="Arial" w:hAnsi="Arial" w:cs="Arial"/>
          <w:sz w:val="20"/>
          <w:szCs w:val="20"/>
        </w:rPr>
        <w:t xml:space="preserve">million </w:t>
      </w:r>
      <w:r w:rsidRPr="00E131E9">
        <w:rPr>
          <w:rFonts w:ascii="Arial" w:hAnsi="Arial" w:cs="Arial"/>
          <w:i/>
          <w:iCs/>
          <w:sz w:val="20"/>
          <w:szCs w:val="20"/>
        </w:rPr>
        <w:t>(201</w:t>
      </w:r>
      <w:r>
        <w:rPr>
          <w:rFonts w:ascii="Arial" w:hAnsi="Arial" w:cs="Arial"/>
          <w:i/>
          <w:iCs/>
          <w:sz w:val="20"/>
          <w:szCs w:val="20"/>
        </w:rPr>
        <w:t>3</w:t>
      </w:r>
      <w:r w:rsidRPr="00E131E9">
        <w:rPr>
          <w:rFonts w:ascii="Arial" w:hAnsi="Arial" w:cs="Arial"/>
          <w:i/>
          <w:iCs/>
          <w:sz w:val="20"/>
          <w:szCs w:val="20"/>
        </w:rPr>
        <w:t>: £1</w:t>
      </w:r>
      <w:r>
        <w:rPr>
          <w:rFonts w:ascii="Arial" w:hAnsi="Arial" w:cs="Arial"/>
          <w:i/>
          <w:iCs/>
          <w:sz w:val="20"/>
          <w:szCs w:val="20"/>
        </w:rPr>
        <w:t>6.3</w:t>
      </w:r>
      <w:r w:rsidRPr="00E131E9">
        <w:rPr>
          <w:rFonts w:ascii="Arial" w:hAnsi="Arial" w:cs="Arial"/>
          <w:i/>
          <w:iCs/>
          <w:sz w:val="20"/>
          <w:szCs w:val="20"/>
        </w:rPr>
        <w:t xml:space="preserve"> million)</w:t>
      </w:r>
      <w:r w:rsidRPr="00E131E9">
        <w:rPr>
          <w:rFonts w:ascii="Arial" w:hAnsi="Arial" w:cs="Arial"/>
          <w:sz w:val="20"/>
          <w:szCs w:val="20"/>
        </w:rPr>
        <w:t xml:space="preserve"> while underlying operating profit increased by </w:t>
      </w:r>
      <w:r>
        <w:rPr>
          <w:rFonts w:ascii="Arial" w:hAnsi="Arial" w:cs="Arial"/>
          <w:sz w:val="20"/>
          <w:szCs w:val="20"/>
        </w:rPr>
        <w:t>53.1</w:t>
      </w:r>
      <w:r w:rsidRPr="00E131E9">
        <w:rPr>
          <w:rFonts w:ascii="Arial" w:hAnsi="Arial" w:cs="Arial"/>
          <w:sz w:val="20"/>
          <w:szCs w:val="20"/>
        </w:rPr>
        <w:t>% to £</w:t>
      </w:r>
      <w:r>
        <w:rPr>
          <w:rFonts w:ascii="Arial" w:hAnsi="Arial" w:cs="Arial"/>
          <w:sz w:val="20"/>
          <w:szCs w:val="20"/>
        </w:rPr>
        <w:t xml:space="preserve">1.83 </w:t>
      </w:r>
      <w:r w:rsidRPr="00E131E9">
        <w:rPr>
          <w:rFonts w:ascii="Arial" w:hAnsi="Arial" w:cs="Arial"/>
          <w:sz w:val="20"/>
          <w:szCs w:val="20"/>
        </w:rPr>
        <w:t xml:space="preserve">million </w:t>
      </w:r>
      <w:r>
        <w:rPr>
          <w:rFonts w:ascii="Arial" w:hAnsi="Arial" w:cs="Arial"/>
          <w:sz w:val="20"/>
          <w:szCs w:val="20"/>
        </w:rPr>
        <w:t>(</w:t>
      </w:r>
      <w:r w:rsidRPr="00E2489C">
        <w:rPr>
          <w:rFonts w:ascii="Arial" w:hAnsi="Arial" w:cs="Arial"/>
          <w:i/>
          <w:sz w:val="20"/>
          <w:szCs w:val="20"/>
        </w:rPr>
        <w:t>2013:</w:t>
      </w:r>
      <w:r>
        <w:rPr>
          <w:rFonts w:ascii="Arial" w:hAnsi="Arial" w:cs="Arial"/>
          <w:sz w:val="20"/>
          <w:szCs w:val="20"/>
        </w:rPr>
        <w:t xml:space="preserve"> </w:t>
      </w:r>
      <w:r w:rsidRPr="00E131E9">
        <w:rPr>
          <w:rFonts w:ascii="Arial" w:hAnsi="Arial" w:cs="Arial"/>
          <w:i/>
          <w:iCs/>
          <w:sz w:val="20"/>
          <w:szCs w:val="20"/>
        </w:rPr>
        <w:t>£</w:t>
      </w:r>
      <w:r>
        <w:rPr>
          <w:rFonts w:ascii="Arial" w:hAnsi="Arial" w:cs="Arial"/>
          <w:i/>
          <w:iCs/>
          <w:sz w:val="20"/>
          <w:szCs w:val="20"/>
        </w:rPr>
        <w:t>1.19</w:t>
      </w:r>
      <w:r w:rsidRPr="00E131E9">
        <w:rPr>
          <w:rFonts w:ascii="Arial" w:hAnsi="Arial" w:cs="Arial"/>
          <w:i/>
          <w:iCs/>
          <w:sz w:val="20"/>
          <w:szCs w:val="20"/>
        </w:rPr>
        <w:t xml:space="preserve"> million</w:t>
      </w:r>
      <w:r>
        <w:rPr>
          <w:rFonts w:ascii="Arial" w:hAnsi="Arial" w:cs="Arial"/>
          <w:i/>
          <w:iCs/>
          <w:sz w:val="20"/>
          <w:szCs w:val="20"/>
        </w:rPr>
        <w:t>)</w:t>
      </w:r>
      <w:r w:rsidR="000C5327">
        <w:rPr>
          <w:rFonts w:ascii="Arial" w:hAnsi="Arial" w:cs="Arial"/>
          <w:sz w:val="20"/>
          <w:szCs w:val="20"/>
        </w:rPr>
        <w:t xml:space="preserve">. </w:t>
      </w:r>
    </w:p>
    <w:tbl>
      <w:tblPr>
        <w:tblW w:w="8852" w:type="dxa"/>
        <w:tblInd w:w="220" w:type="dxa"/>
        <w:tblLayout w:type="fixed"/>
        <w:tblCellMar>
          <w:left w:w="0" w:type="dxa"/>
          <w:right w:w="0" w:type="dxa"/>
        </w:tblCellMar>
        <w:tblLook w:val="0000" w:firstRow="0" w:lastRow="0" w:firstColumn="0" w:lastColumn="0" w:noHBand="0" w:noVBand="0"/>
      </w:tblPr>
      <w:tblGrid>
        <w:gridCol w:w="5450"/>
        <w:gridCol w:w="993"/>
        <w:gridCol w:w="1275"/>
        <w:gridCol w:w="1134"/>
      </w:tblGrid>
      <w:tr w:rsidR="00367AFF" w:rsidRPr="00E131E9" w:rsidTr="00367AFF">
        <w:trPr>
          <w:trHeight w:val="161"/>
        </w:trPr>
        <w:tc>
          <w:tcPr>
            <w:tcW w:w="5450"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roofErr w:type="spellStart"/>
            <w:r w:rsidRPr="00E131E9">
              <w:rPr>
                <w:rFonts w:ascii="Arial" w:hAnsi="Arial" w:cs="Arial"/>
                <w:sz w:val="20"/>
                <w:szCs w:val="20"/>
              </w:rPr>
              <w:t>Momart</w:t>
            </w:r>
            <w:proofErr w:type="spellEnd"/>
            <w:r w:rsidRPr="00E131E9">
              <w:rPr>
                <w:rFonts w:ascii="Arial" w:hAnsi="Arial" w:cs="Arial"/>
                <w:sz w:val="20"/>
                <w:szCs w:val="20"/>
              </w:rPr>
              <w:t xml:space="preserve"> Operating results</w:t>
            </w:r>
          </w:p>
        </w:tc>
        <w:tc>
          <w:tcPr>
            <w:tcW w:w="993"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134"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r>
      <w:tr w:rsidR="00367AFF" w:rsidRPr="00E131E9" w:rsidTr="00367AFF">
        <w:trPr>
          <w:trHeight w:val="355"/>
        </w:trPr>
        <w:tc>
          <w:tcPr>
            <w:tcW w:w="5450" w:type="dxa"/>
            <w:tcBorders>
              <w:top w:val="nil"/>
              <w:left w:val="nil"/>
              <w:right w:val="nil"/>
            </w:tcBorders>
            <w:vAlign w:val="bottom"/>
          </w:tcPr>
          <w:p w:rsidR="00367AFF" w:rsidRPr="00E131E9" w:rsidRDefault="00367AFF" w:rsidP="000C5327">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Year ended 31 March</w:t>
            </w:r>
          </w:p>
        </w:tc>
        <w:tc>
          <w:tcPr>
            <w:tcW w:w="993" w:type="dxa"/>
            <w:tcBorders>
              <w:top w:val="nil"/>
              <w:left w:val="nil"/>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Pr>
                <w:rFonts w:ascii="Arial" w:hAnsi="Arial" w:cs="Arial"/>
                <w:sz w:val="20"/>
                <w:szCs w:val="20"/>
              </w:rPr>
              <w:t>2014</w:t>
            </w:r>
          </w:p>
        </w:tc>
        <w:tc>
          <w:tcPr>
            <w:tcW w:w="1275" w:type="dxa"/>
            <w:tcBorders>
              <w:top w:val="nil"/>
              <w:left w:val="nil"/>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sidRPr="00E131E9">
              <w:rPr>
                <w:rFonts w:ascii="Arial" w:hAnsi="Arial" w:cs="Arial"/>
                <w:sz w:val="20"/>
                <w:szCs w:val="20"/>
              </w:rPr>
              <w:t>2013</w:t>
            </w:r>
          </w:p>
        </w:tc>
        <w:tc>
          <w:tcPr>
            <w:tcW w:w="1134" w:type="dxa"/>
            <w:tcBorders>
              <w:top w:val="nil"/>
              <w:left w:val="nil"/>
              <w:right w:val="nil"/>
            </w:tcBorders>
            <w:vAlign w:val="bottom"/>
          </w:tcPr>
          <w:p w:rsidR="00367AFF" w:rsidRPr="00E131E9" w:rsidRDefault="00367AFF" w:rsidP="000C5327">
            <w:pPr>
              <w:widowControl w:val="0"/>
              <w:autoSpaceDE w:val="0"/>
              <w:autoSpaceDN w:val="0"/>
              <w:adjustRightInd w:val="0"/>
              <w:spacing w:after="0" w:line="0" w:lineRule="atLeast"/>
              <w:ind w:right="25"/>
              <w:jc w:val="right"/>
              <w:rPr>
                <w:rFonts w:ascii="Arial" w:hAnsi="Arial" w:cs="Arial"/>
                <w:sz w:val="20"/>
                <w:szCs w:val="20"/>
              </w:rPr>
            </w:pPr>
            <w:r w:rsidRPr="00E131E9">
              <w:rPr>
                <w:rFonts w:ascii="Arial" w:hAnsi="Arial" w:cs="Arial"/>
                <w:i/>
                <w:iCs/>
                <w:sz w:val="20"/>
                <w:szCs w:val="20"/>
              </w:rPr>
              <w:t>Change</w:t>
            </w:r>
          </w:p>
        </w:tc>
      </w:tr>
      <w:tr w:rsidR="00367AFF" w:rsidRPr="00E131E9" w:rsidTr="00367AFF">
        <w:trPr>
          <w:trHeight w:val="180"/>
        </w:trPr>
        <w:tc>
          <w:tcPr>
            <w:tcW w:w="5450"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sidRPr="00E131E9">
              <w:rPr>
                <w:rFonts w:ascii="Arial" w:hAnsi="Arial" w:cs="Arial"/>
                <w:sz w:val="20"/>
                <w:szCs w:val="20"/>
              </w:rPr>
              <w:t>£m</w:t>
            </w:r>
          </w:p>
        </w:tc>
        <w:tc>
          <w:tcPr>
            <w:tcW w:w="1275"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sidRPr="00E131E9">
              <w:rPr>
                <w:rFonts w:ascii="Arial" w:hAnsi="Arial" w:cs="Arial"/>
                <w:sz w:val="20"/>
                <w:szCs w:val="20"/>
              </w:rPr>
              <w:t>£m</w:t>
            </w:r>
          </w:p>
        </w:tc>
        <w:tc>
          <w:tcPr>
            <w:tcW w:w="1134"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ind w:right="25"/>
              <w:jc w:val="right"/>
              <w:rPr>
                <w:rFonts w:ascii="Arial" w:hAnsi="Arial" w:cs="Arial"/>
                <w:sz w:val="20"/>
                <w:szCs w:val="20"/>
              </w:rPr>
            </w:pPr>
            <w:r w:rsidRPr="00E131E9">
              <w:rPr>
                <w:rFonts w:ascii="Arial" w:hAnsi="Arial" w:cs="Arial"/>
                <w:i/>
                <w:iCs/>
                <w:sz w:val="20"/>
                <w:szCs w:val="20"/>
              </w:rPr>
              <w:t>%</w:t>
            </w:r>
          </w:p>
        </w:tc>
      </w:tr>
      <w:tr w:rsidR="00367AFF" w:rsidRPr="00E131E9" w:rsidTr="00367AFF">
        <w:trPr>
          <w:trHeight w:val="405"/>
        </w:trPr>
        <w:tc>
          <w:tcPr>
            <w:tcW w:w="5450" w:type="dxa"/>
            <w:tcBorders>
              <w:top w:val="single" w:sz="4" w:space="0" w:color="auto"/>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i/>
                <w:iCs/>
                <w:sz w:val="20"/>
                <w:szCs w:val="20"/>
              </w:rPr>
              <w:t>Revenues</w:t>
            </w:r>
          </w:p>
        </w:tc>
        <w:tc>
          <w:tcPr>
            <w:tcW w:w="993" w:type="dxa"/>
            <w:tcBorders>
              <w:top w:val="single" w:sz="4" w:space="0" w:color="auto"/>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275" w:type="dxa"/>
            <w:tcBorders>
              <w:top w:val="single" w:sz="4" w:space="0" w:color="auto"/>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134" w:type="dxa"/>
            <w:tcBorders>
              <w:top w:val="single" w:sz="4" w:space="0" w:color="auto"/>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r>
      <w:tr w:rsidR="00367AFF" w:rsidRPr="00E131E9" w:rsidTr="00367AFF">
        <w:trPr>
          <w:trHeight w:val="339"/>
        </w:trPr>
        <w:tc>
          <w:tcPr>
            <w:tcW w:w="5450"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Museums and public</w:t>
            </w:r>
          </w:p>
        </w:tc>
        <w:tc>
          <w:tcPr>
            <w:tcW w:w="993"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134"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r>
      <w:tr w:rsidR="00367AFF" w:rsidRPr="00E131E9" w:rsidTr="00367AFF">
        <w:trPr>
          <w:trHeight w:val="283"/>
        </w:trPr>
        <w:tc>
          <w:tcPr>
            <w:tcW w:w="5450"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Exhibitions</w:t>
            </w:r>
          </w:p>
        </w:tc>
        <w:tc>
          <w:tcPr>
            <w:tcW w:w="993"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Pr>
                <w:rFonts w:ascii="Arial" w:hAnsi="Arial" w:cs="Arial"/>
                <w:sz w:val="20"/>
                <w:szCs w:val="20"/>
              </w:rPr>
              <w:t>10.86</w:t>
            </w:r>
          </w:p>
        </w:tc>
        <w:tc>
          <w:tcPr>
            <w:tcW w:w="1275"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Pr>
                <w:rFonts w:ascii="Arial" w:hAnsi="Arial" w:cs="Arial"/>
                <w:sz w:val="20"/>
                <w:szCs w:val="20"/>
              </w:rPr>
              <w:t>9.01</w:t>
            </w:r>
          </w:p>
        </w:tc>
        <w:tc>
          <w:tcPr>
            <w:tcW w:w="1134" w:type="dxa"/>
            <w:tcBorders>
              <w:top w:val="nil"/>
              <w:left w:val="nil"/>
              <w:bottom w:val="nil"/>
              <w:right w:val="nil"/>
            </w:tcBorders>
            <w:vAlign w:val="bottom"/>
          </w:tcPr>
          <w:p w:rsidR="00367AFF" w:rsidRPr="003E44EB" w:rsidRDefault="00367AFF" w:rsidP="000C5327">
            <w:pPr>
              <w:widowControl w:val="0"/>
              <w:autoSpaceDE w:val="0"/>
              <w:autoSpaceDN w:val="0"/>
              <w:adjustRightInd w:val="0"/>
              <w:spacing w:after="0" w:line="0" w:lineRule="atLeast"/>
              <w:ind w:right="25"/>
              <w:jc w:val="right"/>
              <w:rPr>
                <w:rFonts w:ascii="Arial" w:hAnsi="Arial" w:cs="Arial"/>
                <w:i/>
                <w:sz w:val="20"/>
                <w:szCs w:val="20"/>
              </w:rPr>
            </w:pPr>
            <w:r w:rsidRPr="003E44EB">
              <w:rPr>
                <w:rFonts w:ascii="Arial" w:hAnsi="Arial" w:cs="Arial"/>
                <w:i/>
                <w:sz w:val="20"/>
                <w:szCs w:val="20"/>
              </w:rPr>
              <w:t>20.4</w:t>
            </w:r>
          </w:p>
        </w:tc>
      </w:tr>
      <w:tr w:rsidR="00367AFF" w:rsidRPr="00E131E9" w:rsidTr="00367AFF">
        <w:trPr>
          <w:trHeight w:val="283"/>
        </w:trPr>
        <w:tc>
          <w:tcPr>
            <w:tcW w:w="5450"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Commercial gallery services</w:t>
            </w:r>
          </w:p>
        </w:tc>
        <w:tc>
          <w:tcPr>
            <w:tcW w:w="993"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Pr>
                <w:rFonts w:ascii="Arial" w:hAnsi="Arial" w:cs="Arial"/>
                <w:sz w:val="20"/>
                <w:szCs w:val="20"/>
              </w:rPr>
              <w:t>5.57</w:t>
            </w:r>
          </w:p>
        </w:tc>
        <w:tc>
          <w:tcPr>
            <w:tcW w:w="1275"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sidRPr="00E131E9">
              <w:rPr>
                <w:rFonts w:ascii="Arial" w:hAnsi="Arial" w:cs="Arial"/>
                <w:sz w:val="20"/>
                <w:szCs w:val="20"/>
              </w:rPr>
              <w:t>5.50</w:t>
            </w:r>
          </w:p>
        </w:tc>
        <w:tc>
          <w:tcPr>
            <w:tcW w:w="1134" w:type="dxa"/>
            <w:tcBorders>
              <w:top w:val="nil"/>
              <w:left w:val="nil"/>
              <w:bottom w:val="nil"/>
              <w:right w:val="nil"/>
            </w:tcBorders>
            <w:vAlign w:val="bottom"/>
          </w:tcPr>
          <w:p w:rsidR="00367AFF" w:rsidRPr="003E44EB" w:rsidRDefault="00367AFF" w:rsidP="000C5327">
            <w:pPr>
              <w:widowControl w:val="0"/>
              <w:autoSpaceDE w:val="0"/>
              <w:autoSpaceDN w:val="0"/>
              <w:adjustRightInd w:val="0"/>
              <w:spacing w:after="0" w:line="0" w:lineRule="atLeast"/>
              <w:ind w:right="25"/>
              <w:jc w:val="right"/>
              <w:rPr>
                <w:rFonts w:ascii="Arial" w:hAnsi="Arial" w:cs="Arial"/>
                <w:i/>
                <w:sz w:val="20"/>
                <w:szCs w:val="20"/>
              </w:rPr>
            </w:pPr>
            <w:r w:rsidRPr="003E44EB">
              <w:rPr>
                <w:rFonts w:ascii="Arial" w:hAnsi="Arial" w:cs="Arial"/>
                <w:i/>
                <w:sz w:val="20"/>
                <w:szCs w:val="20"/>
              </w:rPr>
              <w:t>1.3</w:t>
            </w:r>
          </w:p>
        </w:tc>
      </w:tr>
      <w:tr w:rsidR="00367AFF" w:rsidRPr="00E131E9" w:rsidTr="00367AFF">
        <w:trPr>
          <w:trHeight w:val="283"/>
        </w:trPr>
        <w:tc>
          <w:tcPr>
            <w:tcW w:w="5450" w:type="dxa"/>
            <w:tcBorders>
              <w:top w:val="nil"/>
              <w:left w:val="nil"/>
              <w:right w:val="nil"/>
            </w:tcBorders>
            <w:vAlign w:val="bottom"/>
          </w:tcPr>
          <w:p w:rsidR="00367AFF" w:rsidRPr="00E131E9" w:rsidRDefault="00367AFF" w:rsidP="000C5327">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Storage</w:t>
            </w:r>
          </w:p>
        </w:tc>
        <w:tc>
          <w:tcPr>
            <w:tcW w:w="993" w:type="dxa"/>
            <w:tcBorders>
              <w:top w:val="nil"/>
              <w:left w:val="nil"/>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Pr>
                <w:rFonts w:ascii="Arial" w:hAnsi="Arial" w:cs="Arial"/>
                <w:sz w:val="20"/>
                <w:szCs w:val="20"/>
              </w:rPr>
              <w:t>1.83</w:t>
            </w:r>
          </w:p>
        </w:tc>
        <w:tc>
          <w:tcPr>
            <w:tcW w:w="1275" w:type="dxa"/>
            <w:tcBorders>
              <w:top w:val="nil"/>
              <w:left w:val="nil"/>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sidRPr="00E131E9">
              <w:rPr>
                <w:rFonts w:ascii="Arial" w:hAnsi="Arial" w:cs="Arial"/>
                <w:sz w:val="20"/>
                <w:szCs w:val="20"/>
              </w:rPr>
              <w:t>1.79</w:t>
            </w:r>
          </w:p>
        </w:tc>
        <w:tc>
          <w:tcPr>
            <w:tcW w:w="1134" w:type="dxa"/>
            <w:tcBorders>
              <w:top w:val="nil"/>
              <w:left w:val="nil"/>
              <w:right w:val="nil"/>
            </w:tcBorders>
            <w:vAlign w:val="bottom"/>
          </w:tcPr>
          <w:p w:rsidR="00367AFF" w:rsidRPr="003E44EB" w:rsidRDefault="00367AFF" w:rsidP="000C5327">
            <w:pPr>
              <w:widowControl w:val="0"/>
              <w:autoSpaceDE w:val="0"/>
              <w:autoSpaceDN w:val="0"/>
              <w:adjustRightInd w:val="0"/>
              <w:spacing w:after="0" w:line="0" w:lineRule="atLeast"/>
              <w:ind w:right="25"/>
              <w:jc w:val="right"/>
              <w:rPr>
                <w:rFonts w:ascii="Arial" w:hAnsi="Arial" w:cs="Arial"/>
                <w:i/>
                <w:sz w:val="20"/>
                <w:szCs w:val="20"/>
              </w:rPr>
            </w:pPr>
            <w:r w:rsidRPr="003E44EB">
              <w:rPr>
                <w:rFonts w:ascii="Arial" w:hAnsi="Arial" w:cs="Arial"/>
                <w:i/>
                <w:sz w:val="20"/>
                <w:szCs w:val="20"/>
              </w:rPr>
              <w:t>2.6</w:t>
            </w:r>
          </w:p>
        </w:tc>
      </w:tr>
      <w:tr w:rsidR="00367AFF" w:rsidRPr="00E131E9" w:rsidTr="00367AFF">
        <w:trPr>
          <w:trHeight w:val="31"/>
        </w:trPr>
        <w:tc>
          <w:tcPr>
            <w:tcW w:w="5450"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134" w:type="dxa"/>
            <w:tcBorders>
              <w:top w:val="nil"/>
              <w:left w:val="nil"/>
              <w:bottom w:val="single" w:sz="4" w:space="0" w:color="auto"/>
              <w:right w:val="nil"/>
            </w:tcBorders>
            <w:vAlign w:val="bottom"/>
          </w:tcPr>
          <w:p w:rsidR="00367AFF" w:rsidRPr="003E44EB" w:rsidRDefault="00367AFF" w:rsidP="000C5327">
            <w:pPr>
              <w:widowControl w:val="0"/>
              <w:autoSpaceDE w:val="0"/>
              <w:autoSpaceDN w:val="0"/>
              <w:adjustRightInd w:val="0"/>
              <w:spacing w:after="0" w:line="0" w:lineRule="atLeast"/>
              <w:rPr>
                <w:rFonts w:ascii="Arial" w:hAnsi="Arial" w:cs="Arial"/>
                <w:i/>
                <w:sz w:val="20"/>
                <w:szCs w:val="20"/>
              </w:rPr>
            </w:pPr>
          </w:p>
        </w:tc>
      </w:tr>
      <w:tr w:rsidR="00367AFF" w:rsidRPr="00E131E9" w:rsidTr="00367AFF">
        <w:trPr>
          <w:trHeight w:val="261"/>
        </w:trPr>
        <w:tc>
          <w:tcPr>
            <w:tcW w:w="5450" w:type="dxa"/>
            <w:tcBorders>
              <w:top w:val="single" w:sz="4" w:space="0" w:color="auto"/>
              <w:left w:val="nil"/>
              <w:right w:val="nil"/>
            </w:tcBorders>
            <w:vAlign w:val="bottom"/>
          </w:tcPr>
          <w:p w:rsidR="00367AFF" w:rsidRPr="00E131E9" w:rsidRDefault="00367AFF" w:rsidP="000C5327">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 xml:space="preserve">Total </w:t>
            </w:r>
            <w:proofErr w:type="spellStart"/>
            <w:r w:rsidRPr="00E131E9">
              <w:rPr>
                <w:rFonts w:ascii="Arial" w:hAnsi="Arial" w:cs="Arial"/>
                <w:sz w:val="20"/>
                <w:szCs w:val="20"/>
              </w:rPr>
              <w:t>Momart</w:t>
            </w:r>
            <w:proofErr w:type="spellEnd"/>
            <w:r w:rsidRPr="00E131E9">
              <w:rPr>
                <w:rFonts w:ascii="Arial" w:hAnsi="Arial" w:cs="Arial"/>
                <w:sz w:val="20"/>
                <w:szCs w:val="20"/>
              </w:rPr>
              <w:t xml:space="preserve"> revenue</w:t>
            </w:r>
          </w:p>
        </w:tc>
        <w:tc>
          <w:tcPr>
            <w:tcW w:w="993" w:type="dxa"/>
            <w:tcBorders>
              <w:top w:val="single" w:sz="4" w:space="0" w:color="auto"/>
              <w:left w:val="nil"/>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Pr>
                <w:rFonts w:ascii="Arial" w:hAnsi="Arial" w:cs="Arial"/>
                <w:sz w:val="20"/>
                <w:szCs w:val="20"/>
              </w:rPr>
              <w:t>18.26</w:t>
            </w:r>
          </w:p>
        </w:tc>
        <w:tc>
          <w:tcPr>
            <w:tcW w:w="1275" w:type="dxa"/>
            <w:tcBorders>
              <w:top w:val="single" w:sz="4" w:space="0" w:color="auto"/>
              <w:left w:val="nil"/>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sidRPr="00E131E9">
              <w:rPr>
                <w:rFonts w:ascii="Arial" w:hAnsi="Arial" w:cs="Arial"/>
                <w:sz w:val="20"/>
                <w:szCs w:val="20"/>
              </w:rPr>
              <w:t>16.30</w:t>
            </w:r>
          </w:p>
        </w:tc>
        <w:tc>
          <w:tcPr>
            <w:tcW w:w="1134" w:type="dxa"/>
            <w:tcBorders>
              <w:top w:val="single" w:sz="4" w:space="0" w:color="auto"/>
              <w:left w:val="nil"/>
              <w:right w:val="nil"/>
            </w:tcBorders>
            <w:vAlign w:val="bottom"/>
          </w:tcPr>
          <w:p w:rsidR="00367AFF" w:rsidRPr="003E44EB" w:rsidRDefault="00367AFF" w:rsidP="000C5327">
            <w:pPr>
              <w:widowControl w:val="0"/>
              <w:autoSpaceDE w:val="0"/>
              <w:autoSpaceDN w:val="0"/>
              <w:adjustRightInd w:val="0"/>
              <w:spacing w:after="0" w:line="0" w:lineRule="atLeast"/>
              <w:ind w:right="25"/>
              <w:jc w:val="right"/>
              <w:rPr>
                <w:rFonts w:ascii="Arial" w:hAnsi="Arial" w:cs="Arial"/>
                <w:i/>
                <w:sz w:val="20"/>
                <w:szCs w:val="20"/>
              </w:rPr>
            </w:pPr>
            <w:r w:rsidRPr="003E44EB">
              <w:rPr>
                <w:rFonts w:ascii="Arial" w:hAnsi="Arial" w:cs="Arial"/>
                <w:i/>
                <w:sz w:val="20"/>
                <w:szCs w:val="20"/>
              </w:rPr>
              <w:t>12.0</w:t>
            </w:r>
          </w:p>
        </w:tc>
      </w:tr>
      <w:tr w:rsidR="00367AFF" w:rsidRPr="00E131E9" w:rsidTr="00367AFF">
        <w:trPr>
          <w:trHeight w:val="31"/>
        </w:trPr>
        <w:tc>
          <w:tcPr>
            <w:tcW w:w="5450"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134"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r>
      <w:tr w:rsidR="00367AFF" w:rsidRPr="00E131E9" w:rsidTr="00367AFF">
        <w:trPr>
          <w:trHeight w:val="288"/>
        </w:trPr>
        <w:tc>
          <w:tcPr>
            <w:tcW w:w="5450" w:type="dxa"/>
            <w:tcBorders>
              <w:top w:val="single" w:sz="4" w:space="0" w:color="auto"/>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ind w:left="20"/>
              <w:rPr>
                <w:rFonts w:ascii="Arial" w:hAnsi="Arial" w:cs="Arial"/>
                <w:sz w:val="20"/>
                <w:szCs w:val="20"/>
              </w:rPr>
            </w:pPr>
          </w:p>
        </w:tc>
        <w:tc>
          <w:tcPr>
            <w:tcW w:w="993" w:type="dxa"/>
            <w:tcBorders>
              <w:top w:val="single" w:sz="4" w:space="0" w:color="auto"/>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275" w:type="dxa"/>
            <w:tcBorders>
              <w:top w:val="single" w:sz="4" w:space="0" w:color="auto"/>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134" w:type="dxa"/>
            <w:tcBorders>
              <w:top w:val="single" w:sz="4" w:space="0" w:color="auto"/>
              <w:left w:val="nil"/>
              <w:bottom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r>
      <w:tr w:rsidR="00367AFF" w:rsidRPr="003E44EB" w:rsidTr="00367AFF">
        <w:trPr>
          <w:trHeight w:val="200"/>
        </w:trPr>
        <w:tc>
          <w:tcPr>
            <w:tcW w:w="5450" w:type="dxa"/>
            <w:tcBorders>
              <w:top w:val="nil"/>
              <w:left w:val="nil"/>
              <w:right w:val="nil"/>
            </w:tcBorders>
            <w:vAlign w:val="bottom"/>
          </w:tcPr>
          <w:p w:rsidR="00367AFF" w:rsidRPr="00E131E9" w:rsidRDefault="00367AFF" w:rsidP="000C5327">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 xml:space="preserve">Underlying </w:t>
            </w:r>
            <w:proofErr w:type="spellStart"/>
            <w:r w:rsidRPr="00E131E9">
              <w:rPr>
                <w:rFonts w:ascii="Arial" w:hAnsi="Arial" w:cs="Arial"/>
                <w:sz w:val="20"/>
                <w:szCs w:val="20"/>
              </w:rPr>
              <w:t>Momart</w:t>
            </w:r>
            <w:proofErr w:type="spellEnd"/>
            <w:r w:rsidRPr="00E131E9">
              <w:rPr>
                <w:rFonts w:ascii="Arial" w:hAnsi="Arial" w:cs="Arial"/>
                <w:sz w:val="20"/>
                <w:szCs w:val="20"/>
              </w:rPr>
              <w:t xml:space="preserve"> operating profit</w:t>
            </w:r>
          </w:p>
        </w:tc>
        <w:tc>
          <w:tcPr>
            <w:tcW w:w="993" w:type="dxa"/>
            <w:tcBorders>
              <w:top w:val="nil"/>
              <w:left w:val="nil"/>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Pr>
                <w:rFonts w:ascii="Arial" w:hAnsi="Arial" w:cs="Arial"/>
                <w:sz w:val="20"/>
                <w:szCs w:val="20"/>
              </w:rPr>
              <w:t>1.8</w:t>
            </w:r>
            <w:r w:rsidR="00812B39">
              <w:rPr>
                <w:rFonts w:ascii="Arial" w:hAnsi="Arial" w:cs="Arial"/>
                <w:sz w:val="20"/>
                <w:szCs w:val="20"/>
              </w:rPr>
              <w:t>3</w:t>
            </w:r>
          </w:p>
        </w:tc>
        <w:tc>
          <w:tcPr>
            <w:tcW w:w="1275" w:type="dxa"/>
            <w:tcBorders>
              <w:top w:val="nil"/>
              <w:left w:val="nil"/>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sidRPr="00E131E9">
              <w:rPr>
                <w:rFonts w:ascii="Arial" w:hAnsi="Arial" w:cs="Arial"/>
                <w:sz w:val="20"/>
                <w:szCs w:val="20"/>
              </w:rPr>
              <w:t>1.19</w:t>
            </w:r>
          </w:p>
        </w:tc>
        <w:tc>
          <w:tcPr>
            <w:tcW w:w="1134" w:type="dxa"/>
            <w:tcBorders>
              <w:top w:val="nil"/>
              <w:left w:val="nil"/>
              <w:right w:val="nil"/>
            </w:tcBorders>
            <w:vAlign w:val="bottom"/>
          </w:tcPr>
          <w:p w:rsidR="00367AFF" w:rsidRPr="003E44EB" w:rsidRDefault="00367AFF" w:rsidP="000C5327">
            <w:pPr>
              <w:widowControl w:val="0"/>
              <w:autoSpaceDE w:val="0"/>
              <w:autoSpaceDN w:val="0"/>
              <w:adjustRightInd w:val="0"/>
              <w:spacing w:after="0" w:line="0" w:lineRule="atLeast"/>
              <w:ind w:right="25"/>
              <w:jc w:val="right"/>
              <w:rPr>
                <w:rFonts w:ascii="Arial" w:hAnsi="Arial" w:cs="Arial"/>
                <w:i/>
                <w:sz w:val="20"/>
                <w:szCs w:val="20"/>
              </w:rPr>
            </w:pPr>
            <w:r w:rsidRPr="003E44EB">
              <w:rPr>
                <w:rFonts w:ascii="Arial" w:hAnsi="Arial" w:cs="Arial"/>
                <w:i/>
                <w:sz w:val="20"/>
                <w:szCs w:val="20"/>
              </w:rPr>
              <w:t>53.1</w:t>
            </w:r>
          </w:p>
        </w:tc>
      </w:tr>
      <w:tr w:rsidR="00367AFF" w:rsidRPr="00E131E9" w:rsidTr="00367AFF">
        <w:trPr>
          <w:trHeight w:val="31"/>
        </w:trPr>
        <w:tc>
          <w:tcPr>
            <w:tcW w:w="5450"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993"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275"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134"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r>
      <w:tr w:rsidR="00367AFF" w:rsidRPr="00E131E9" w:rsidTr="00367AFF">
        <w:trPr>
          <w:trHeight w:val="288"/>
        </w:trPr>
        <w:tc>
          <w:tcPr>
            <w:tcW w:w="5450" w:type="dxa"/>
            <w:tcBorders>
              <w:top w:val="single" w:sz="4" w:space="0" w:color="auto"/>
              <w:left w:val="nil"/>
              <w:right w:val="nil"/>
            </w:tcBorders>
            <w:vAlign w:val="bottom"/>
          </w:tcPr>
          <w:p w:rsidR="00367AFF" w:rsidRPr="00E131E9" w:rsidRDefault="00367AFF" w:rsidP="000C5327">
            <w:pPr>
              <w:widowControl w:val="0"/>
              <w:autoSpaceDE w:val="0"/>
              <w:autoSpaceDN w:val="0"/>
              <w:adjustRightInd w:val="0"/>
              <w:spacing w:after="0" w:line="0" w:lineRule="atLeast"/>
              <w:ind w:left="20"/>
              <w:rPr>
                <w:rFonts w:ascii="Arial" w:hAnsi="Arial" w:cs="Arial"/>
                <w:sz w:val="20"/>
                <w:szCs w:val="20"/>
              </w:rPr>
            </w:pPr>
          </w:p>
        </w:tc>
        <w:tc>
          <w:tcPr>
            <w:tcW w:w="993" w:type="dxa"/>
            <w:tcBorders>
              <w:top w:val="single" w:sz="4" w:space="0" w:color="auto"/>
              <w:left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275" w:type="dxa"/>
            <w:tcBorders>
              <w:top w:val="single" w:sz="4" w:space="0" w:color="auto"/>
              <w:left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c>
          <w:tcPr>
            <w:tcW w:w="1134" w:type="dxa"/>
            <w:tcBorders>
              <w:top w:val="single" w:sz="4" w:space="0" w:color="auto"/>
              <w:left w:val="nil"/>
              <w:right w:val="nil"/>
            </w:tcBorders>
            <w:vAlign w:val="bottom"/>
          </w:tcPr>
          <w:p w:rsidR="00367AFF" w:rsidRPr="00E131E9" w:rsidRDefault="00367AFF" w:rsidP="000C5327">
            <w:pPr>
              <w:widowControl w:val="0"/>
              <w:autoSpaceDE w:val="0"/>
              <w:autoSpaceDN w:val="0"/>
              <w:adjustRightInd w:val="0"/>
              <w:spacing w:after="0" w:line="0" w:lineRule="atLeast"/>
              <w:rPr>
                <w:rFonts w:ascii="Arial" w:hAnsi="Arial" w:cs="Arial"/>
                <w:sz w:val="20"/>
                <w:szCs w:val="20"/>
              </w:rPr>
            </w:pPr>
          </w:p>
        </w:tc>
      </w:tr>
      <w:tr w:rsidR="00367AFF" w:rsidRPr="00E131E9" w:rsidTr="00367AFF">
        <w:trPr>
          <w:trHeight w:val="231"/>
        </w:trPr>
        <w:tc>
          <w:tcPr>
            <w:tcW w:w="5450"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ind w:left="20"/>
              <w:rPr>
                <w:rFonts w:ascii="Arial" w:hAnsi="Arial" w:cs="Arial"/>
                <w:sz w:val="20"/>
                <w:szCs w:val="20"/>
              </w:rPr>
            </w:pPr>
            <w:r w:rsidRPr="00E131E9">
              <w:rPr>
                <w:rFonts w:ascii="Arial" w:hAnsi="Arial" w:cs="Arial"/>
                <w:sz w:val="20"/>
                <w:szCs w:val="20"/>
              </w:rPr>
              <w:t xml:space="preserve">Underlying operating profit margin </w:t>
            </w:r>
          </w:p>
        </w:tc>
        <w:tc>
          <w:tcPr>
            <w:tcW w:w="993"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Pr>
                <w:rFonts w:ascii="Arial" w:hAnsi="Arial" w:cs="Arial"/>
                <w:sz w:val="20"/>
                <w:szCs w:val="20"/>
              </w:rPr>
              <w:t>10.0%</w:t>
            </w:r>
          </w:p>
        </w:tc>
        <w:tc>
          <w:tcPr>
            <w:tcW w:w="1275"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0" w:lineRule="atLeast"/>
              <w:ind w:right="65"/>
              <w:jc w:val="right"/>
              <w:rPr>
                <w:rFonts w:ascii="Arial" w:hAnsi="Arial" w:cs="Arial"/>
                <w:sz w:val="20"/>
                <w:szCs w:val="20"/>
              </w:rPr>
            </w:pPr>
            <w:r w:rsidRPr="00E131E9">
              <w:rPr>
                <w:rFonts w:ascii="Arial" w:hAnsi="Arial" w:cs="Arial"/>
                <w:sz w:val="20"/>
                <w:szCs w:val="20"/>
              </w:rPr>
              <w:t>7.3</w:t>
            </w:r>
            <w:r>
              <w:rPr>
                <w:rFonts w:ascii="Arial" w:hAnsi="Arial" w:cs="Arial"/>
                <w:sz w:val="20"/>
                <w:szCs w:val="20"/>
              </w:rPr>
              <w:t>%</w:t>
            </w:r>
          </w:p>
        </w:tc>
        <w:tc>
          <w:tcPr>
            <w:tcW w:w="1134" w:type="dxa"/>
            <w:tcBorders>
              <w:top w:val="nil"/>
              <w:left w:val="nil"/>
              <w:bottom w:val="single" w:sz="4" w:space="0" w:color="auto"/>
              <w:right w:val="nil"/>
            </w:tcBorders>
            <w:vAlign w:val="bottom"/>
          </w:tcPr>
          <w:p w:rsidR="00367AFF" w:rsidRPr="00E131E9" w:rsidRDefault="00367AFF" w:rsidP="00F90DE7">
            <w:pPr>
              <w:widowControl w:val="0"/>
              <w:autoSpaceDE w:val="0"/>
              <w:autoSpaceDN w:val="0"/>
              <w:adjustRightInd w:val="0"/>
              <w:spacing w:after="0" w:line="0" w:lineRule="atLeast"/>
              <w:ind w:right="25"/>
              <w:jc w:val="right"/>
              <w:rPr>
                <w:rFonts w:ascii="Arial" w:hAnsi="Arial" w:cs="Arial"/>
                <w:sz w:val="20"/>
                <w:szCs w:val="20"/>
              </w:rPr>
            </w:pPr>
            <w:r w:rsidRPr="003E44EB">
              <w:rPr>
                <w:rFonts w:ascii="Arial" w:hAnsi="Arial" w:cs="Arial"/>
                <w:i/>
                <w:sz w:val="20"/>
                <w:szCs w:val="20"/>
              </w:rPr>
              <w:t>36.6</w:t>
            </w:r>
          </w:p>
        </w:tc>
      </w:tr>
    </w:tbl>
    <w:p w:rsidR="00367AFF" w:rsidRDefault="00367AFF" w:rsidP="00367AFF">
      <w:pPr>
        <w:widowControl w:val="0"/>
        <w:autoSpaceDE w:val="0"/>
        <w:autoSpaceDN w:val="0"/>
        <w:adjustRightInd w:val="0"/>
        <w:rPr>
          <w:rFonts w:ascii="Arial" w:hAnsi="Arial" w:cs="Arial"/>
          <w:i/>
          <w:iCs/>
          <w:sz w:val="20"/>
          <w:szCs w:val="20"/>
        </w:rPr>
      </w:pPr>
    </w:p>
    <w:p w:rsidR="00367AFF" w:rsidRPr="00E131E9" w:rsidRDefault="00367AFF" w:rsidP="000C5327">
      <w:pPr>
        <w:widowControl w:val="0"/>
        <w:autoSpaceDE w:val="0"/>
        <w:autoSpaceDN w:val="0"/>
        <w:adjustRightInd w:val="0"/>
        <w:rPr>
          <w:rFonts w:ascii="Arial" w:hAnsi="Arial" w:cs="Arial"/>
          <w:sz w:val="20"/>
          <w:szCs w:val="20"/>
        </w:rPr>
      </w:pPr>
      <w:r w:rsidRPr="00E131E9">
        <w:rPr>
          <w:rFonts w:ascii="Arial" w:hAnsi="Arial" w:cs="Arial"/>
          <w:i/>
          <w:iCs/>
          <w:sz w:val="20"/>
          <w:szCs w:val="20"/>
        </w:rPr>
        <w:t>Exhibitions</w:t>
      </w:r>
    </w:p>
    <w:p w:rsidR="00367AFF" w:rsidRDefault="00367AFF" w:rsidP="00367A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Museum exhibitions enjoyed an exceptional year both in the UK and internationally with overall revenues increasing by 20.4% to a record level of £10.86 million. </w:t>
      </w:r>
      <w:r w:rsidR="008824D2">
        <w:rPr>
          <w:rFonts w:ascii="Arial" w:hAnsi="Arial" w:cs="Arial"/>
          <w:sz w:val="20"/>
          <w:szCs w:val="20"/>
        </w:rPr>
        <w:t xml:space="preserve"> </w:t>
      </w:r>
      <w:proofErr w:type="spellStart"/>
      <w:r>
        <w:rPr>
          <w:rFonts w:ascii="Arial" w:hAnsi="Arial" w:cs="Arial"/>
          <w:sz w:val="20"/>
          <w:szCs w:val="20"/>
        </w:rPr>
        <w:t>Momart</w:t>
      </w:r>
      <w:proofErr w:type="spellEnd"/>
      <w:r>
        <w:rPr>
          <w:rFonts w:ascii="Arial" w:hAnsi="Arial" w:cs="Arial"/>
          <w:sz w:val="20"/>
          <w:szCs w:val="20"/>
        </w:rPr>
        <w:t xml:space="preserve"> installed a wide variety of high quality, technically complex exhibitions, drawing on its reputation for client service, problem solving and attention to detail.  This record level of activity in exhibitions includes a number of large international projects which are not expected to re-occur in the near term and some touring exhibitions which tr</w:t>
      </w:r>
      <w:r w:rsidR="00DC654E">
        <w:rPr>
          <w:rFonts w:ascii="Arial" w:hAnsi="Arial" w:cs="Arial"/>
          <w:sz w:val="20"/>
          <w:szCs w:val="20"/>
        </w:rPr>
        <w:t>avelled to multiple locations.</w:t>
      </w:r>
      <w:r w:rsidR="008824D2">
        <w:rPr>
          <w:rFonts w:ascii="Arial" w:hAnsi="Arial" w:cs="Arial"/>
          <w:sz w:val="20"/>
          <w:szCs w:val="20"/>
        </w:rPr>
        <w:t xml:space="preserve"> </w:t>
      </w:r>
      <w:r>
        <w:rPr>
          <w:rFonts w:ascii="Arial" w:hAnsi="Arial" w:cs="Arial"/>
          <w:sz w:val="20"/>
          <w:szCs w:val="20"/>
        </w:rPr>
        <w:t xml:space="preserve"> In the UK, </w:t>
      </w:r>
      <w:proofErr w:type="spellStart"/>
      <w:r>
        <w:rPr>
          <w:rFonts w:ascii="Arial" w:hAnsi="Arial" w:cs="Arial"/>
          <w:sz w:val="20"/>
          <w:szCs w:val="20"/>
        </w:rPr>
        <w:t>Momart</w:t>
      </w:r>
      <w:proofErr w:type="spellEnd"/>
      <w:r>
        <w:rPr>
          <w:rFonts w:ascii="Arial" w:hAnsi="Arial" w:cs="Arial"/>
          <w:sz w:val="20"/>
          <w:szCs w:val="20"/>
        </w:rPr>
        <w:t xml:space="preserve"> was involved in the installation of a number of prestigious and popular exhibitions including</w:t>
      </w:r>
      <w:r w:rsidR="008824D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Manet</w:t>
      </w:r>
      <w:proofErr w:type="spellEnd"/>
      <w:r w:rsidR="000F0431">
        <w:rPr>
          <w:rFonts w:ascii="Arial" w:hAnsi="Arial" w:cs="Arial"/>
          <w:sz w:val="20"/>
          <w:szCs w:val="20"/>
        </w:rPr>
        <w:t>: Portraying Life</w:t>
      </w:r>
      <w:r>
        <w:rPr>
          <w:rFonts w:ascii="Arial" w:hAnsi="Arial" w:cs="Arial"/>
          <w:sz w:val="20"/>
          <w:szCs w:val="20"/>
        </w:rPr>
        <w:t xml:space="preserve"> at the Royal Academy, Ellen Gallagher</w:t>
      </w:r>
      <w:r w:rsidR="000F0431">
        <w:rPr>
          <w:rFonts w:ascii="Arial" w:hAnsi="Arial" w:cs="Arial"/>
          <w:sz w:val="20"/>
          <w:szCs w:val="20"/>
        </w:rPr>
        <w:t xml:space="preserve">: </w:t>
      </w:r>
      <w:proofErr w:type="spellStart"/>
      <w:r w:rsidR="000F0431">
        <w:rPr>
          <w:rFonts w:ascii="Arial" w:hAnsi="Arial" w:cs="Arial"/>
          <w:sz w:val="20"/>
          <w:szCs w:val="20"/>
        </w:rPr>
        <w:t>AxMe</w:t>
      </w:r>
      <w:proofErr w:type="spellEnd"/>
      <w:r>
        <w:rPr>
          <w:rFonts w:ascii="Arial" w:hAnsi="Arial" w:cs="Arial"/>
          <w:sz w:val="20"/>
          <w:szCs w:val="20"/>
        </w:rPr>
        <w:t xml:space="preserve"> at Tate Modern, David Bowie</w:t>
      </w:r>
      <w:r w:rsidR="000F0431">
        <w:rPr>
          <w:rFonts w:ascii="Arial" w:hAnsi="Arial" w:cs="Arial"/>
          <w:sz w:val="20"/>
          <w:szCs w:val="20"/>
        </w:rPr>
        <w:t>: Is</w:t>
      </w:r>
      <w:r>
        <w:rPr>
          <w:rFonts w:ascii="Arial" w:hAnsi="Arial" w:cs="Arial"/>
          <w:sz w:val="20"/>
          <w:szCs w:val="20"/>
        </w:rPr>
        <w:t xml:space="preserve"> and </w:t>
      </w:r>
      <w:r w:rsidR="000F0431">
        <w:rPr>
          <w:rFonts w:ascii="Arial" w:hAnsi="Arial" w:cs="Arial"/>
          <w:sz w:val="20"/>
          <w:szCs w:val="20"/>
        </w:rPr>
        <w:t xml:space="preserve">Masterpieces of </w:t>
      </w:r>
      <w:r>
        <w:rPr>
          <w:rFonts w:ascii="Arial" w:hAnsi="Arial" w:cs="Arial"/>
          <w:sz w:val="20"/>
          <w:szCs w:val="20"/>
        </w:rPr>
        <w:t xml:space="preserve">Chinese Painting at the V &amp; A, </w:t>
      </w:r>
      <w:r w:rsidR="000F0431">
        <w:rPr>
          <w:rFonts w:ascii="Arial" w:hAnsi="Arial" w:cs="Arial"/>
          <w:sz w:val="20"/>
          <w:szCs w:val="20"/>
        </w:rPr>
        <w:t xml:space="preserve">the Portrait of </w:t>
      </w:r>
      <w:r>
        <w:rPr>
          <w:rFonts w:ascii="Arial" w:hAnsi="Arial" w:cs="Arial"/>
          <w:sz w:val="20"/>
          <w:szCs w:val="20"/>
        </w:rPr>
        <w:t>Vienna at the National Gallery, Vikings</w:t>
      </w:r>
      <w:r w:rsidR="000F0431">
        <w:rPr>
          <w:rFonts w:ascii="Arial" w:hAnsi="Arial" w:cs="Arial"/>
          <w:sz w:val="20"/>
          <w:szCs w:val="20"/>
        </w:rPr>
        <w:t>: Life and Legend</w:t>
      </w:r>
      <w:r>
        <w:rPr>
          <w:rFonts w:ascii="Arial" w:hAnsi="Arial" w:cs="Arial"/>
          <w:sz w:val="20"/>
          <w:szCs w:val="20"/>
        </w:rPr>
        <w:t xml:space="preserve"> at the British Museum and the </w:t>
      </w:r>
      <w:r w:rsidR="000F0431">
        <w:rPr>
          <w:rFonts w:ascii="Arial" w:hAnsi="Arial" w:cs="Arial"/>
          <w:sz w:val="20"/>
          <w:szCs w:val="20"/>
        </w:rPr>
        <w:t xml:space="preserve">Houghton Revisited </w:t>
      </w:r>
      <w:r>
        <w:rPr>
          <w:rFonts w:ascii="Arial" w:hAnsi="Arial" w:cs="Arial"/>
          <w:sz w:val="20"/>
          <w:szCs w:val="20"/>
        </w:rPr>
        <w:t xml:space="preserve">Exhibition at Houghton Hall, which showcased Sir Robert Walpole’s personal art collection, on loan from the Hermitage Museum.   </w:t>
      </w:r>
    </w:p>
    <w:p w:rsidR="00367AFF" w:rsidRPr="00E131E9" w:rsidRDefault="00367AFF" w:rsidP="000C5327">
      <w:pPr>
        <w:widowControl w:val="0"/>
        <w:autoSpaceDE w:val="0"/>
        <w:autoSpaceDN w:val="0"/>
        <w:adjustRightInd w:val="0"/>
        <w:rPr>
          <w:rFonts w:ascii="Arial" w:hAnsi="Arial" w:cs="Arial"/>
          <w:sz w:val="20"/>
          <w:szCs w:val="20"/>
        </w:rPr>
      </w:pPr>
      <w:r w:rsidRPr="00E131E9">
        <w:rPr>
          <w:rFonts w:ascii="Arial" w:hAnsi="Arial" w:cs="Arial"/>
          <w:i/>
          <w:iCs/>
          <w:sz w:val="20"/>
          <w:szCs w:val="20"/>
        </w:rPr>
        <w:t>Gallery Services</w:t>
      </w:r>
    </w:p>
    <w:p w:rsidR="00367AFF" w:rsidRPr="00E131E9" w:rsidRDefault="00367AFF" w:rsidP="000C5327">
      <w:pPr>
        <w:widowControl w:val="0"/>
        <w:overflowPunct w:val="0"/>
        <w:autoSpaceDE w:val="0"/>
        <w:autoSpaceDN w:val="0"/>
        <w:adjustRightInd w:val="0"/>
        <w:jc w:val="both"/>
        <w:rPr>
          <w:rFonts w:ascii="Arial" w:hAnsi="Arial" w:cs="Arial"/>
          <w:sz w:val="20"/>
          <w:szCs w:val="20"/>
        </w:rPr>
      </w:pPr>
      <w:r w:rsidRPr="00E131E9">
        <w:rPr>
          <w:rFonts w:ascii="Arial" w:hAnsi="Arial" w:cs="Arial"/>
          <w:sz w:val="20"/>
          <w:szCs w:val="20"/>
        </w:rPr>
        <w:t xml:space="preserve">Gallery Services revenues were </w:t>
      </w:r>
      <w:r>
        <w:rPr>
          <w:rFonts w:ascii="Arial" w:hAnsi="Arial" w:cs="Arial"/>
          <w:sz w:val="20"/>
          <w:szCs w:val="20"/>
        </w:rPr>
        <w:t xml:space="preserve">1.3% ahead of 2013 at £5.57 million.  Gross margins improved, helped by the appointment of a new Finance and Commercial Director and as the first benefits were realised from </w:t>
      </w:r>
      <w:proofErr w:type="spellStart"/>
      <w:r>
        <w:rPr>
          <w:rFonts w:ascii="Arial" w:hAnsi="Arial" w:cs="Arial"/>
          <w:sz w:val="20"/>
          <w:szCs w:val="20"/>
        </w:rPr>
        <w:t>Momart’s</w:t>
      </w:r>
      <w:proofErr w:type="spellEnd"/>
      <w:r>
        <w:rPr>
          <w:rFonts w:ascii="Arial" w:hAnsi="Arial" w:cs="Arial"/>
          <w:sz w:val="20"/>
          <w:szCs w:val="20"/>
        </w:rPr>
        <w:t xml:space="preserve"> recent investment in improved management information systems. The final roll out of this ERP system was completed in March 2014 and further benefits are expected to be generated in the current year. </w:t>
      </w:r>
      <w:r w:rsidR="000C5327">
        <w:rPr>
          <w:rFonts w:ascii="Arial" w:hAnsi="Arial" w:cs="Arial"/>
          <w:sz w:val="20"/>
          <w:szCs w:val="20"/>
        </w:rPr>
        <w:t xml:space="preserve">  </w:t>
      </w:r>
    </w:p>
    <w:p w:rsidR="00367AFF" w:rsidRPr="00E131E9" w:rsidRDefault="00367AFF" w:rsidP="00367AFF">
      <w:pPr>
        <w:widowControl w:val="0"/>
        <w:autoSpaceDE w:val="0"/>
        <w:autoSpaceDN w:val="0"/>
        <w:adjustRightInd w:val="0"/>
        <w:rPr>
          <w:rFonts w:ascii="Arial" w:hAnsi="Arial" w:cs="Arial"/>
          <w:sz w:val="20"/>
          <w:szCs w:val="20"/>
        </w:rPr>
      </w:pPr>
      <w:r w:rsidRPr="00E131E9">
        <w:rPr>
          <w:rFonts w:ascii="Arial" w:hAnsi="Arial" w:cs="Arial"/>
          <w:i/>
          <w:iCs/>
          <w:sz w:val="20"/>
          <w:szCs w:val="20"/>
        </w:rPr>
        <w:t>Storage</w:t>
      </w:r>
    </w:p>
    <w:p w:rsidR="00367AFF" w:rsidRPr="00E131E9" w:rsidRDefault="00367AFF" w:rsidP="00367AFF">
      <w:pPr>
        <w:widowControl w:val="0"/>
        <w:autoSpaceDE w:val="0"/>
        <w:autoSpaceDN w:val="0"/>
        <w:adjustRightInd w:val="0"/>
        <w:rPr>
          <w:rFonts w:ascii="Arial" w:hAnsi="Arial" w:cs="Arial"/>
          <w:sz w:val="20"/>
          <w:szCs w:val="20"/>
        </w:rPr>
      </w:pPr>
      <w:r w:rsidRPr="00E131E9">
        <w:rPr>
          <w:rFonts w:ascii="Arial" w:hAnsi="Arial" w:cs="Arial"/>
          <w:sz w:val="20"/>
          <w:szCs w:val="20"/>
        </w:rPr>
        <w:t xml:space="preserve">Storage revenues </w:t>
      </w:r>
      <w:r>
        <w:rPr>
          <w:rFonts w:ascii="Arial" w:hAnsi="Arial" w:cs="Arial"/>
          <w:sz w:val="20"/>
          <w:szCs w:val="20"/>
        </w:rPr>
        <w:t xml:space="preserve">increased by 2.6% and were generated from a </w:t>
      </w:r>
      <w:r w:rsidR="00305E47">
        <w:rPr>
          <w:rFonts w:ascii="Arial" w:hAnsi="Arial" w:cs="Arial"/>
          <w:sz w:val="20"/>
          <w:szCs w:val="20"/>
        </w:rPr>
        <w:t xml:space="preserve">broader </w:t>
      </w:r>
      <w:r>
        <w:rPr>
          <w:rFonts w:ascii="Arial" w:hAnsi="Arial" w:cs="Arial"/>
          <w:sz w:val="20"/>
          <w:szCs w:val="20"/>
        </w:rPr>
        <w:t xml:space="preserve">client base as new commercial relationships were established.  With </w:t>
      </w:r>
      <w:proofErr w:type="spellStart"/>
      <w:r>
        <w:rPr>
          <w:rFonts w:ascii="Arial" w:hAnsi="Arial" w:cs="Arial"/>
          <w:sz w:val="20"/>
          <w:szCs w:val="20"/>
        </w:rPr>
        <w:t>Momart’s</w:t>
      </w:r>
      <w:proofErr w:type="spellEnd"/>
      <w:r>
        <w:rPr>
          <w:rFonts w:ascii="Arial" w:hAnsi="Arial" w:cs="Arial"/>
          <w:sz w:val="20"/>
          <w:szCs w:val="20"/>
        </w:rPr>
        <w:t xml:space="preserve"> existing storage facilities fully utilised plans are being </w:t>
      </w:r>
      <w:r w:rsidR="00305E47">
        <w:rPr>
          <w:rFonts w:ascii="Arial" w:hAnsi="Arial" w:cs="Arial"/>
          <w:sz w:val="20"/>
          <w:szCs w:val="20"/>
        </w:rPr>
        <w:t>progressed</w:t>
      </w:r>
      <w:r>
        <w:rPr>
          <w:rFonts w:ascii="Arial" w:hAnsi="Arial" w:cs="Arial"/>
          <w:sz w:val="20"/>
          <w:szCs w:val="20"/>
        </w:rPr>
        <w:t xml:space="preserve"> for a significant extension t</w:t>
      </w:r>
      <w:r w:rsidR="003C69E2">
        <w:rPr>
          <w:rFonts w:ascii="Arial" w:hAnsi="Arial" w:cs="Arial"/>
          <w:sz w:val="20"/>
          <w:szCs w:val="20"/>
        </w:rPr>
        <w:t>o existing warehouse facilities</w:t>
      </w:r>
      <w:r>
        <w:rPr>
          <w:rFonts w:ascii="Arial" w:hAnsi="Arial" w:cs="Arial"/>
          <w:sz w:val="20"/>
          <w:szCs w:val="20"/>
        </w:rPr>
        <w:t>.</w:t>
      </w:r>
    </w:p>
    <w:p w:rsidR="00797C10" w:rsidRDefault="00797C10" w:rsidP="00367AFF">
      <w:pPr>
        <w:widowControl w:val="0"/>
        <w:autoSpaceDE w:val="0"/>
        <w:autoSpaceDN w:val="0"/>
        <w:adjustRightInd w:val="0"/>
        <w:rPr>
          <w:rFonts w:ascii="Arial" w:hAnsi="Arial" w:cs="Arial"/>
          <w:i/>
          <w:sz w:val="20"/>
          <w:szCs w:val="20"/>
        </w:rPr>
      </w:pPr>
    </w:p>
    <w:p w:rsidR="00367AFF" w:rsidRPr="00E131E9" w:rsidRDefault="00367AFF" w:rsidP="00367AFF">
      <w:pPr>
        <w:widowControl w:val="0"/>
        <w:autoSpaceDE w:val="0"/>
        <w:autoSpaceDN w:val="0"/>
        <w:adjustRightInd w:val="0"/>
        <w:rPr>
          <w:rFonts w:ascii="Arial" w:hAnsi="Arial" w:cs="Arial"/>
          <w:i/>
          <w:sz w:val="20"/>
          <w:szCs w:val="20"/>
        </w:rPr>
      </w:pPr>
      <w:r w:rsidRPr="00E131E9">
        <w:rPr>
          <w:rFonts w:ascii="Arial" w:hAnsi="Arial" w:cs="Arial"/>
          <w:i/>
          <w:sz w:val="20"/>
          <w:szCs w:val="20"/>
        </w:rPr>
        <w:t xml:space="preserve">General </w:t>
      </w:r>
    </w:p>
    <w:p w:rsidR="00367AFF" w:rsidRPr="00E131E9" w:rsidRDefault="00305E47" w:rsidP="00367AFF">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The year </w:t>
      </w:r>
      <w:r w:rsidR="00367AFF">
        <w:rPr>
          <w:rFonts w:ascii="Arial" w:hAnsi="Arial" w:cs="Arial"/>
          <w:sz w:val="20"/>
          <w:szCs w:val="20"/>
        </w:rPr>
        <w:t xml:space="preserve">saw </w:t>
      </w:r>
      <w:proofErr w:type="spellStart"/>
      <w:r w:rsidR="00367AFF">
        <w:rPr>
          <w:rFonts w:ascii="Arial" w:hAnsi="Arial" w:cs="Arial"/>
          <w:sz w:val="20"/>
          <w:szCs w:val="20"/>
        </w:rPr>
        <w:t>Momart</w:t>
      </w:r>
      <w:proofErr w:type="spellEnd"/>
      <w:r w:rsidR="00367AFF">
        <w:rPr>
          <w:rFonts w:ascii="Arial" w:hAnsi="Arial" w:cs="Arial"/>
          <w:sz w:val="20"/>
          <w:szCs w:val="20"/>
        </w:rPr>
        <w:t xml:space="preserve"> </w:t>
      </w:r>
      <w:r>
        <w:rPr>
          <w:rFonts w:ascii="Arial" w:hAnsi="Arial" w:cs="Arial"/>
          <w:sz w:val="20"/>
          <w:szCs w:val="20"/>
        </w:rPr>
        <w:t xml:space="preserve">generate </w:t>
      </w:r>
      <w:r w:rsidR="00367AFF">
        <w:rPr>
          <w:rFonts w:ascii="Arial" w:hAnsi="Arial" w:cs="Arial"/>
          <w:sz w:val="20"/>
          <w:szCs w:val="20"/>
        </w:rPr>
        <w:t>record level</w:t>
      </w:r>
      <w:r>
        <w:rPr>
          <w:rFonts w:ascii="Arial" w:hAnsi="Arial" w:cs="Arial"/>
          <w:sz w:val="20"/>
          <w:szCs w:val="20"/>
        </w:rPr>
        <w:t>s</w:t>
      </w:r>
      <w:r w:rsidR="00367AFF">
        <w:rPr>
          <w:rFonts w:ascii="Arial" w:hAnsi="Arial" w:cs="Arial"/>
          <w:sz w:val="20"/>
          <w:szCs w:val="20"/>
        </w:rPr>
        <w:t xml:space="preserve"> of revenue and contribution reflecting the strength of its global reputation and its commercial and institutional relationships which have been developed over decades.  With the continued strength of the global art market and the increasing importance of London as an international centre, prospects for sustained growth and underlying profits are excellent</w:t>
      </w:r>
      <w:r>
        <w:rPr>
          <w:rFonts w:ascii="Arial" w:hAnsi="Arial" w:cs="Arial"/>
          <w:sz w:val="20"/>
          <w:szCs w:val="20"/>
        </w:rPr>
        <w:t>,</w:t>
      </w:r>
      <w:r w:rsidR="00367AFF">
        <w:rPr>
          <w:rFonts w:ascii="Arial" w:hAnsi="Arial" w:cs="Arial"/>
          <w:sz w:val="20"/>
          <w:szCs w:val="20"/>
        </w:rPr>
        <w:t xml:space="preserve"> </w:t>
      </w:r>
      <w:r>
        <w:rPr>
          <w:rFonts w:ascii="Arial" w:hAnsi="Arial" w:cs="Arial"/>
          <w:sz w:val="20"/>
          <w:szCs w:val="20"/>
        </w:rPr>
        <w:t>although in the short term we do not expect to see a repetition of the exceptional results of 2013-14</w:t>
      </w:r>
      <w:r w:rsidR="00B371F0">
        <w:rPr>
          <w:rFonts w:ascii="Arial" w:hAnsi="Arial" w:cs="Arial"/>
          <w:sz w:val="20"/>
          <w:szCs w:val="20"/>
        </w:rPr>
        <w:t>.</w:t>
      </w:r>
    </w:p>
    <w:p w:rsidR="00367AFF" w:rsidRDefault="00367AFF" w:rsidP="00367AFF">
      <w:pPr>
        <w:widowControl w:val="0"/>
        <w:autoSpaceDE w:val="0"/>
        <w:autoSpaceDN w:val="0"/>
        <w:adjustRightInd w:val="0"/>
        <w:rPr>
          <w:rFonts w:ascii="Arial" w:hAnsi="Arial" w:cs="Arial"/>
          <w:sz w:val="20"/>
          <w:szCs w:val="20"/>
        </w:rPr>
      </w:pPr>
    </w:p>
    <w:p w:rsidR="00367AFF" w:rsidRPr="00161D48" w:rsidRDefault="00367AFF" w:rsidP="00367AFF">
      <w:pPr>
        <w:widowControl w:val="0"/>
        <w:overflowPunct w:val="0"/>
        <w:autoSpaceDE w:val="0"/>
        <w:autoSpaceDN w:val="0"/>
        <w:adjustRightInd w:val="0"/>
        <w:jc w:val="both"/>
        <w:rPr>
          <w:rFonts w:ascii="Arial" w:hAnsi="Arial" w:cs="Arial"/>
          <w:b/>
          <w:sz w:val="20"/>
          <w:szCs w:val="20"/>
        </w:rPr>
      </w:pPr>
      <w:proofErr w:type="spellStart"/>
      <w:r w:rsidRPr="00161D48">
        <w:rPr>
          <w:rFonts w:ascii="Arial" w:hAnsi="Arial" w:cs="Arial"/>
          <w:b/>
          <w:sz w:val="20"/>
          <w:szCs w:val="20"/>
        </w:rPr>
        <w:t>Momart</w:t>
      </w:r>
      <w:proofErr w:type="spellEnd"/>
      <w:r w:rsidRPr="00161D48">
        <w:rPr>
          <w:rFonts w:ascii="Arial" w:hAnsi="Arial" w:cs="Arial"/>
          <w:b/>
          <w:sz w:val="20"/>
          <w:szCs w:val="20"/>
        </w:rPr>
        <w:t xml:space="preserve"> K</w:t>
      </w:r>
      <w:r w:rsidR="00812B39">
        <w:rPr>
          <w:rFonts w:ascii="Arial" w:hAnsi="Arial" w:cs="Arial"/>
          <w:b/>
          <w:sz w:val="20"/>
          <w:szCs w:val="20"/>
        </w:rPr>
        <w:t>ey Performance Indicators</w:t>
      </w:r>
      <w:r w:rsidRPr="00161D48">
        <w:rPr>
          <w:rFonts w:ascii="Arial" w:hAnsi="Arial" w:cs="Arial"/>
          <w:b/>
          <w:sz w:val="20"/>
          <w:szCs w:val="20"/>
        </w:rPr>
        <w:t xml:space="preserve"> and Operational Drivers </w:t>
      </w:r>
    </w:p>
    <w:p w:rsidR="00367AFF" w:rsidRDefault="00367AFF" w:rsidP="00367AFF">
      <w:pPr>
        <w:widowControl w:val="0"/>
        <w:overflowPunct w:val="0"/>
        <w:autoSpaceDE w:val="0"/>
        <w:autoSpaceDN w:val="0"/>
        <w:adjustRightInd w:val="0"/>
        <w:jc w:val="both"/>
        <w:rPr>
          <w:rFonts w:ascii="Arial" w:hAnsi="Arial" w:cs="Arial"/>
          <w:sz w:val="20"/>
          <w:szCs w:val="20"/>
        </w:rPr>
      </w:pPr>
    </w:p>
    <w:tbl>
      <w:tblPr>
        <w:tblStyle w:val="TableGrid"/>
        <w:tblW w:w="0" w:type="auto"/>
        <w:tblLook w:val="04A0" w:firstRow="1" w:lastRow="0" w:firstColumn="1" w:lastColumn="0" w:noHBand="0" w:noVBand="1"/>
      </w:tblPr>
      <w:tblGrid>
        <w:gridCol w:w="3369"/>
        <w:gridCol w:w="1937"/>
        <w:gridCol w:w="1937"/>
        <w:gridCol w:w="1937"/>
      </w:tblGrid>
      <w:tr w:rsidR="00367AFF" w:rsidRPr="001D7885" w:rsidTr="00367AFF">
        <w:tc>
          <w:tcPr>
            <w:tcW w:w="3369" w:type="dxa"/>
          </w:tcPr>
          <w:p w:rsidR="00367AFF" w:rsidRPr="006A15A3" w:rsidRDefault="00367AFF" w:rsidP="000C5327">
            <w:pPr>
              <w:widowControl w:val="0"/>
              <w:autoSpaceDE w:val="0"/>
              <w:autoSpaceDN w:val="0"/>
              <w:adjustRightInd w:val="0"/>
              <w:spacing w:after="0" w:line="0" w:lineRule="atLeast"/>
              <w:rPr>
                <w:rFonts w:ascii="Arial" w:hAnsi="Arial" w:cs="Arial"/>
                <w:b/>
                <w:sz w:val="20"/>
                <w:szCs w:val="20"/>
              </w:rPr>
            </w:pPr>
            <w:r w:rsidRPr="006A15A3">
              <w:rPr>
                <w:rFonts w:ascii="Arial" w:hAnsi="Arial" w:cs="Arial"/>
                <w:b/>
                <w:sz w:val="20"/>
                <w:szCs w:val="20"/>
              </w:rPr>
              <w:t xml:space="preserve">Year ended 31 March </w:t>
            </w:r>
          </w:p>
        </w:tc>
        <w:tc>
          <w:tcPr>
            <w:tcW w:w="1937" w:type="dxa"/>
          </w:tcPr>
          <w:p w:rsidR="00367AFF" w:rsidRPr="006A15A3" w:rsidRDefault="00367AFF" w:rsidP="000C5327">
            <w:pPr>
              <w:widowControl w:val="0"/>
              <w:autoSpaceDE w:val="0"/>
              <w:autoSpaceDN w:val="0"/>
              <w:adjustRightInd w:val="0"/>
              <w:spacing w:after="0" w:line="0" w:lineRule="atLeast"/>
              <w:jc w:val="right"/>
              <w:rPr>
                <w:rFonts w:ascii="Arial" w:hAnsi="Arial" w:cs="Arial"/>
                <w:b/>
                <w:sz w:val="20"/>
                <w:szCs w:val="20"/>
              </w:rPr>
            </w:pPr>
            <w:r w:rsidRPr="006A15A3">
              <w:rPr>
                <w:rFonts w:ascii="Arial" w:hAnsi="Arial" w:cs="Arial"/>
                <w:b/>
                <w:sz w:val="20"/>
                <w:szCs w:val="20"/>
              </w:rPr>
              <w:t>2014</w:t>
            </w:r>
          </w:p>
        </w:tc>
        <w:tc>
          <w:tcPr>
            <w:tcW w:w="1937" w:type="dxa"/>
          </w:tcPr>
          <w:p w:rsidR="00367AFF" w:rsidRPr="006A15A3" w:rsidRDefault="00367AFF" w:rsidP="000C5327">
            <w:pPr>
              <w:widowControl w:val="0"/>
              <w:autoSpaceDE w:val="0"/>
              <w:autoSpaceDN w:val="0"/>
              <w:adjustRightInd w:val="0"/>
              <w:spacing w:after="0" w:line="0" w:lineRule="atLeast"/>
              <w:jc w:val="right"/>
              <w:rPr>
                <w:rFonts w:ascii="Arial" w:hAnsi="Arial" w:cs="Arial"/>
                <w:b/>
                <w:sz w:val="20"/>
                <w:szCs w:val="20"/>
              </w:rPr>
            </w:pPr>
            <w:r w:rsidRPr="006A15A3">
              <w:rPr>
                <w:rFonts w:ascii="Arial" w:hAnsi="Arial" w:cs="Arial"/>
                <w:b/>
                <w:sz w:val="20"/>
                <w:szCs w:val="20"/>
              </w:rPr>
              <w:t>2013</w:t>
            </w:r>
          </w:p>
        </w:tc>
        <w:tc>
          <w:tcPr>
            <w:tcW w:w="1937" w:type="dxa"/>
          </w:tcPr>
          <w:p w:rsidR="00367AFF" w:rsidRPr="006A15A3" w:rsidRDefault="00367AFF" w:rsidP="000C5327">
            <w:pPr>
              <w:widowControl w:val="0"/>
              <w:autoSpaceDE w:val="0"/>
              <w:autoSpaceDN w:val="0"/>
              <w:adjustRightInd w:val="0"/>
              <w:spacing w:after="0" w:line="0" w:lineRule="atLeast"/>
              <w:jc w:val="right"/>
              <w:rPr>
                <w:rFonts w:ascii="Arial" w:hAnsi="Arial" w:cs="Arial"/>
                <w:b/>
                <w:sz w:val="20"/>
                <w:szCs w:val="20"/>
              </w:rPr>
            </w:pPr>
            <w:r w:rsidRPr="006A15A3">
              <w:rPr>
                <w:rFonts w:ascii="Arial" w:hAnsi="Arial" w:cs="Arial"/>
                <w:b/>
                <w:sz w:val="20"/>
                <w:szCs w:val="20"/>
              </w:rPr>
              <w:t>2012</w:t>
            </w:r>
          </w:p>
        </w:tc>
      </w:tr>
      <w:tr w:rsidR="00367AFF" w:rsidRPr="001D7885" w:rsidTr="00367AFF">
        <w:trPr>
          <w:trHeight w:val="343"/>
        </w:trPr>
        <w:tc>
          <w:tcPr>
            <w:tcW w:w="3369" w:type="dxa"/>
            <w:vAlign w:val="bottom"/>
          </w:tcPr>
          <w:p w:rsidR="00367AFF" w:rsidRDefault="00367AFF" w:rsidP="000C5327">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Staff Numbers ( FTE 31 March )</w:t>
            </w:r>
          </w:p>
        </w:tc>
        <w:tc>
          <w:tcPr>
            <w:tcW w:w="1937" w:type="dxa"/>
            <w:vAlign w:val="bottom"/>
          </w:tcPr>
          <w:p w:rsidR="00367AFF" w:rsidRPr="001D7885" w:rsidRDefault="00367AFF" w:rsidP="000C5327">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124.6</w:t>
            </w:r>
          </w:p>
        </w:tc>
        <w:tc>
          <w:tcPr>
            <w:tcW w:w="1937" w:type="dxa"/>
            <w:vAlign w:val="bottom"/>
          </w:tcPr>
          <w:p w:rsidR="00367AFF" w:rsidRPr="001D7885" w:rsidRDefault="00367AFF" w:rsidP="000C5327">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119.0</w:t>
            </w:r>
          </w:p>
        </w:tc>
        <w:tc>
          <w:tcPr>
            <w:tcW w:w="1937" w:type="dxa"/>
            <w:vAlign w:val="bottom"/>
          </w:tcPr>
          <w:p w:rsidR="00367AFF" w:rsidRPr="001D7885" w:rsidRDefault="00367AFF" w:rsidP="000C5327">
            <w:pPr>
              <w:widowControl w:val="0"/>
              <w:autoSpaceDE w:val="0"/>
              <w:autoSpaceDN w:val="0"/>
              <w:adjustRightInd w:val="0"/>
              <w:spacing w:after="0" w:line="0" w:lineRule="atLeast"/>
              <w:jc w:val="right"/>
              <w:rPr>
                <w:rFonts w:ascii="Arial" w:hAnsi="Arial" w:cs="Arial"/>
                <w:sz w:val="20"/>
                <w:szCs w:val="20"/>
              </w:rPr>
            </w:pPr>
            <w:r>
              <w:rPr>
                <w:rFonts w:ascii="Arial" w:hAnsi="Arial" w:cs="Arial"/>
                <w:sz w:val="20"/>
                <w:szCs w:val="20"/>
              </w:rPr>
              <w:t>115.9</w:t>
            </w:r>
          </w:p>
        </w:tc>
      </w:tr>
      <w:tr w:rsidR="00367AFF" w:rsidRPr="001D7885" w:rsidTr="00367AFF">
        <w:tc>
          <w:tcPr>
            <w:tcW w:w="3369" w:type="dxa"/>
          </w:tcPr>
          <w:p w:rsidR="00367AFF" w:rsidRDefault="00367AFF" w:rsidP="000C5327">
            <w:pPr>
              <w:widowControl w:val="0"/>
              <w:autoSpaceDE w:val="0"/>
              <w:autoSpaceDN w:val="0"/>
              <w:adjustRightInd w:val="0"/>
              <w:spacing w:after="0" w:line="0" w:lineRule="atLeast"/>
              <w:rPr>
                <w:rFonts w:ascii="Arial" w:hAnsi="Arial" w:cs="Arial"/>
                <w:sz w:val="20"/>
                <w:szCs w:val="20"/>
              </w:rPr>
            </w:pP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p>
        </w:tc>
      </w:tr>
      <w:tr w:rsidR="00367AFF" w:rsidRPr="0058376E" w:rsidTr="00367AFF">
        <w:tc>
          <w:tcPr>
            <w:tcW w:w="3369" w:type="dxa"/>
          </w:tcPr>
          <w:p w:rsidR="00367AFF" w:rsidRPr="0058376E" w:rsidRDefault="00367AFF" w:rsidP="000C5327">
            <w:pPr>
              <w:widowControl w:val="0"/>
              <w:autoSpaceDE w:val="0"/>
              <w:autoSpaceDN w:val="0"/>
              <w:adjustRightInd w:val="0"/>
              <w:spacing w:after="0" w:line="0" w:lineRule="atLeast"/>
              <w:rPr>
                <w:rFonts w:ascii="Arial" w:hAnsi="Arial" w:cs="Arial"/>
                <w:color w:val="000000" w:themeColor="text1"/>
                <w:sz w:val="20"/>
                <w:szCs w:val="20"/>
              </w:rPr>
            </w:pPr>
            <w:r w:rsidRPr="0058376E">
              <w:rPr>
                <w:rFonts w:ascii="Arial" w:hAnsi="Arial" w:cs="Arial"/>
                <w:color w:val="000000" w:themeColor="text1"/>
                <w:sz w:val="20"/>
                <w:szCs w:val="20"/>
              </w:rPr>
              <w:t xml:space="preserve">Capital Expenditure £ ‘ 000’s </w:t>
            </w: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260</w:t>
            </w: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598</w:t>
            </w: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524</w:t>
            </w:r>
          </w:p>
        </w:tc>
      </w:tr>
      <w:tr w:rsidR="00367AFF" w:rsidRPr="001D7885" w:rsidTr="00367AFF">
        <w:tc>
          <w:tcPr>
            <w:tcW w:w="3369" w:type="dxa"/>
          </w:tcPr>
          <w:p w:rsidR="00367AFF" w:rsidRPr="001D7885" w:rsidRDefault="00367AFF" w:rsidP="000C5327">
            <w:pPr>
              <w:widowControl w:val="0"/>
              <w:autoSpaceDE w:val="0"/>
              <w:autoSpaceDN w:val="0"/>
              <w:adjustRightInd w:val="0"/>
              <w:spacing w:after="0" w:line="0" w:lineRule="atLeast"/>
              <w:rPr>
                <w:rFonts w:ascii="Arial" w:hAnsi="Arial" w:cs="Arial"/>
                <w:sz w:val="20"/>
                <w:szCs w:val="20"/>
              </w:rPr>
            </w:pP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p>
        </w:tc>
      </w:tr>
      <w:tr w:rsidR="00367AFF" w:rsidRPr="001D7885" w:rsidTr="00367AFF">
        <w:tc>
          <w:tcPr>
            <w:tcW w:w="3369" w:type="dxa"/>
          </w:tcPr>
          <w:p w:rsidR="00367AFF" w:rsidRPr="001D7885" w:rsidRDefault="00367AFF" w:rsidP="000C5327">
            <w:pPr>
              <w:widowControl w:val="0"/>
              <w:autoSpaceDE w:val="0"/>
              <w:autoSpaceDN w:val="0"/>
              <w:adjustRightInd w:val="0"/>
              <w:spacing w:after="0" w:line="0" w:lineRule="atLeast"/>
              <w:rPr>
                <w:rFonts w:ascii="Arial" w:hAnsi="Arial" w:cs="Arial"/>
                <w:sz w:val="20"/>
                <w:szCs w:val="20"/>
              </w:rPr>
            </w:pPr>
            <w:r w:rsidRPr="001D7885">
              <w:rPr>
                <w:rFonts w:ascii="Arial" w:hAnsi="Arial" w:cs="Arial"/>
                <w:sz w:val="20"/>
                <w:szCs w:val="20"/>
              </w:rPr>
              <w:t xml:space="preserve">Warehouse </w:t>
            </w:r>
            <w:r>
              <w:rPr>
                <w:rFonts w:ascii="Arial" w:hAnsi="Arial" w:cs="Arial"/>
                <w:sz w:val="20"/>
                <w:szCs w:val="20"/>
              </w:rPr>
              <w:t xml:space="preserve">% fill vs </w:t>
            </w:r>
            <w:r w:rsidRPr="001D7885">
              <w:rPr>
                <w:rFonts w:ascii="Arial" w:hAnsi="Arial" w:cs="Arial"/>
                <w:sz w:val="20"/>
                <w:szCs w:val="20"/>
              </w:rPr>
              <w:t>capacity</w:t>
            </w:r>
            <w:r>
              <w:rPr>
                <w:rFonts w:ascii="Arial" w:hAnsi="Arial" w:cs="Arial"/>
                <w:sz w:val="20"/>
                <w:szCs w:val="20"/>
              </w:rPr>
              <w:t xml:space="preserve"> </w:t>
            </w: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92.9%</w:t>
            </w: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94.2%</w:t>
            </w: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95.1%</w:t>
            </w:r>
          </w:p>
        </w:tc>
      </w:tr>
      <w:tr w:rsidR="00367AFF" w:rsidRPr="001D7885" w:rsidTr="00367AFF">
        <w:trPr>
          <w:trHeight w:val="352"/>
        </w:trPr>
        <w:tc>
          <w:tcPr>
            <w:tcW w:w="3369" w:type="dxa"/>
          </w:tcPr>
          <w:p w:rsidR="00367AFF" w:rsidRPr="001D7885" w:rsidRDefault="00367AFF" w:rsidP="000C5327">
            <w:pPr>
              <w:widowControl w:val="0"/>
              <w:autoSpaceDE w:val="0"/>
              <w:autoSpaceDN w:val="0"/>
              <w:adjustRightInd w:val="0"/>
              <w:spacing w:after="0" w:line="0" w:lineRule="atLeast"/>
              <w:rPr>
                <w:rFonts w:ascii="Arial" w:hAnsi="Arial" w:cs="Arial"/>
                <w:sz w:val="20"/>
                <w:szCs w:val="20"/>
              </w:rPr>
            </w:pP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p>
        </w:tc>
        <w:tc>
          <w:tcPr>
            <w:tcW w:w="1937" w:type="dxa"/>
          </w:tcPr>
          <w:p w:rsidR="00367AFF" w:rsidRPr="00767A96" w:rsidRDefault="00367AFF" w:rsidP="000C5327">
            <w:pPr>
              <w:widowControl w:val="0"/>
              <w:autoSpaceDE w:val="0"/>
              <w:autoSpaceDN w:val="0"/>
              <w:adjustRightInd w:val="0"/>
              <w:spacing w:after="0" w:line="0" w:lineRule="atLeast"/>
              <w:jc w:val="right"/>
              <w:rPr>
                <w:rFonts w:ascii="Arial" w:hAnsi="Arial" w:cs="Arial"/>
                <w:sz w:val="20"/>
                <w:szCs w:val="20"/>
              </w:rPr>
            </w:pPr>
          </w:p>
        </w:tc>
      </w:tr>
      <w:tr w:rsidR="00F90DE7" w:rsidRPr="001D7885" w:rsidTr="00367AFF">
        <w:trPr>
          <w:trHeight w:val="285"/>
        </w:trPr>
        <w:tc>
          <w:tcPr>
            <w:tcW w:w="3369" w:type="dxa"/>
            <w:vAlign w:val="bottom"/>
          </w:tcPr>
          <w:p w:rsidR="00F90DE7" w:rsidRPr="001D7885" w:rsidRDefault="00F90DE7" w:rsidP="000C5327">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 xml:space="preserve">Exhibition Order Book 31 March </w:t>
            </w:r>
          </w:p>
        </w:tc>
        <w:tc>
          <w:tcPr>
            <w:tcW w:w="1937" w:type="dxa"/>
            <w:vAlign w:val="bottom"/>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£3.89m</w:t>
            </w:r>
          </w:p>
        </w:tc>
        <w:tc>
          <w:tcPr>
            <w:tcW w:w="1937" w:type="dxa"/>
            <w:vAlign w:val="bottom"/>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£3.83m</w:t>
            </w:r>
          </w:p>
        </w:tc>
        <w:tc>
          <w:tcPr>
            <w:tcW w:w="1937" w:type="dxa"/>
            <w:vAlign w:val="bottom"/>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£4.16m</w:t>
            </w:r>
          </w:p>
        </w:tc>
      </w:tr>
      <w:tr w:rsidR="00F90DE7" w:rsidRPr="001D7885" w:rsidTr="00367AFF">
        <w:tc>
          <w:tcPr>
            <w:tcW w:w="3369" w:type="dxa"/>
          </w:tcPr>
          <w:p w:rsidR="00F90DE7" w:rsidRPr="001D7885" w:rsidRDefault="00F90DE7" w:rsidP="000C5327">
            <w:pPr>
              <w:widowControl w:val="0"/>
              <w:autoSpaceDE w:val="0"/>
              <w:autoSpaceDN w:val="0"/>
              <w:adjustRightInd w:val="0"/>
              <w:spacing w:after="0" w:line="0" w:lineRule="atLeast"/>
              <w:rPr>
                <w:rFonts w:ascii="Arial" w:hAnsi="Arial" w:cs="Arial"/>
                <w:sz w:val="20"/>
                <w:szCs w:val="20"/>
              </w:rPr>
            </w:pP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p>
        </w:tc>
      </w:tr>
      <w:tr w:rsidR="00F90DE7" w:rsidRPr="001D7885" w:rsidTr="00367AFF">
        <w:tc>
          <w:tcPr>
            <w:tcW w:w="3369" w:type="dxa"/>
          </w:tcPr>
          <w:p w:rsidR="00F90DE7" w:rsidRPr="001D7885" w:rsidRDefault="00F90DE7" w:rsidP="000C5327">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 xml:space="preserve">Own labour charged out </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£11.67m</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£9.02m</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£8.58m</w:t>
            </w:r>
          </w:p>
        </w:tc>
      </w:tr>
      <w:tr w:rsidR="00F90DE7" w:rsidRPr="001D7885" w:rsidTr="00367AFF">
        <w:tc>
          <w:tcPr>
            <w:tcW w:w="3369" w:type="dxa"/>
          </w:tcPr>
          <w:p w:rsidR="00F90DE7" w:rsidRPr="001D7885" w:rsidRDefault="00F90DE7" w:rsidP="000C5327">
            <w:pPr>
              <w:widowControl w:val="0"/>
              <w:autoSpaceDE w:val="0"/>
              <w:autoSpaceDN w:val="0"/>
              <w:adjustRightInd w:val="0"/>
              <w:spacing w:after="0" w:line="0" w:lineRule="atLeast"/>
              <w:rPr>
                <w:rFonts w:ascii="Arial" w:hAnsi="Arial" w:cs="Arial"/>
                <w:sz w:val="20"/>
                <w:szCs w:val="20"/>
              </w:rPr>
            </w:pP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p>
        </w:tc>
      </w:tr>
      <w:tr w:rsidR="00F90DE7" w:rsidRPr="001D7885" w:rsidTr="00367AFF">
        <w:tc>
          <w:tcPr>
            <w:tcW w:w="3369" w:type="dxa"/>
          </w:tcPr>
          <w:p w:rsidR="00F90DE7" w:rsidRPr="001D7885" w:rsidRDefault="00F90DE7" w:rsidP="000C5327">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 xml:space="preserve">Revenues from overseas clients  </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£8.3m</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£4.6m</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£5.7m</w:t>
            </w:r>
          </w:p>
        </w:tc>
      </w:tr>
      <w:tr w:rsidR="00F90DE7" w:rsidRPr="001D7885" w:rsidTr="00367AFF">
        <w:tc>
          <w:tcPr>
            <w:tcW w:w="3369" w:type="dxa"/>
          </w:tcPr>
          <w:p w:rsidR="00F90DE7" w:rsidRPr="001D7885" w:rsidRDefault="00F90DE7" w:rsidP="000C5327">
            <w:pPr>
              <w:widowControl w:val="0"/>
              <w:autoSpaceDE w:val="0"/>
              <w:autoSpaceDN w:val="0"/>
              <w:adjustRightInd w:val="0"/>
              <w:spacing w:after="0" w:line="0" w:lineRule="atLeast"/>
              <w:rPr>
                <w:rFonts w:ascii="Arial" w:hAnsi="Arial" w:cs="Arial"/>
                <w:sz w:val="20"/>
                <w:szCs w:val="20"/>
              </w:rPr>
            </w:pP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p>
        </w:tc>
      </w:tr>
      <w:tr w:rsidR="00F90DE7" w:rsidRPr="001D7885" w:rsidTr="00367AFF">
        <w:tc>
          <w:tcPr>
            <w:tcW w:w="3369" w:type="dxa"/>
          </w:tcPr>
          <w:p w:rsidR="00F90DE7" w:rsidRPr="001D7885" w:rsidRDefault="00F90DE7" w:rsidP="000C5327">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Exhibitions sales growth</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20.4%</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27.8%</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5.7%</w:t>
            </w:r>
          </w:p>
        </w:tc>
      </w:tr>
      <w:tr w:rsidR="00F90DE7" w:rsidRPr="001D7885" w:rsidTr="00367AFF">
        <w:tc>
          <w:tcPr>
            <w:tcW w:w="3369" w:type="dxa"/>
          </w:tcPr>
          <w:p w:rsidR="00F90DE7" w:rsidRPr="001D7885" w:rsidRDefault="00F90DE7" w:rsidP="000C5327">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Gallery Services sales growth</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1.3%</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(12.7)%</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26%</w:t>
            </w:r>
          </w:p>
        </w:tc>
      </w:tr>
      <w:tr w:rsidR="00F90DE7" w:rsidRPr="001D7885" w:rsidTr="00367AFF">
        <w:tc>
          <w:tcPr>
            <w:tcW w:w="3369" w:type="dxa"/>
          </w:tcPr>
          <w:p w:rsidR="00F90DE7" w:rsidRPr="001D7885" w:rsidRDefault="00F90DE7" w:rsidP="000C5327">
            <w:pPr>
              <w:widowControl w:val="0"/>
              <w:autoSpaceDE w:val="0"/>
              <w:autoSpaceDN w:val="0"/>
              <w:adjustRightInd w:val="0"/>
              <w:spacing w:after="0" w:line="0" w:lineRule="atLeast"/>
              <w:rPr>
                <w:rFonts w:ascii="Arial" w:hAnsi="Arial" w:cs="Arial"/>
                <w:sz w:val="20"/>
                <w:szCs w:val="20"/>
              </w:rPr>
            </w:pPr>
            <w:r>
              <w:rPr>
                <w:rFonts w:ascii="Arial" w:hAnsi="Arial" w:cs="Arial"/>
                <w:sz w:val="20"/>
                <w:szCs w:val="20"/>
              </w:rPr>
              <w:t>Storage sales growth</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2.6%</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10.5%</w:t>
            </w:r>
          </w:p>
        </w:tc>
        <w:tc>
          <w:tcPr>
            <w:tcW w:w="1937" w:type="dxa"/>
          </w:tcPr>
          <w:p w:rsidR="00F90DE7" w:rsidRPr="00767A96" w:rsidRDefault="00F90DE7" w:rsidP="000C5327">
            <w:pPr>
              <w:widowControl w:val="0"/>
              <w:autoSpaceDE w:val="0"/>
              <w:autoSpaceDN w:val="0"/>
              <w:adjustRightInd w:val="0"/>
              <w:spacing w:after="0" w:line="0" w:lineRule="atLeast"/>
              <w:jc w:val="right"/>
              <w:rPr>
                <w:rFonts w:ascii="Arial" w:hAnsi="Arial" w:cs="Arial"/>
                <w:sz w:val="20"/>
                <w:szCs w:val="20"/>
              </w:rPr>
            </w:pPr>
            <w:r w:rsidRPr="00767A96">
              <w:rPr>
                <w:rFonts w:ascii="Arial" w:hAnsi="Arial" w:cs="Arial"/>
                <w:sz w:val="20"/>
                <w:szCs w:val="20"/>
              </w:rPr>
              <w:t>6.6%</w:t>
            </w:r>
          </w:p>
        </w:tc>
      </w:tr>
      <w:tr w:rsidR="00F90DE7" w:rsidRPr="001D7885" w:rsidTr="00367AFF">
        <w:tc>
          <w:tcPr>
            <w:tcW w:w="3369" w:type="dxa"/>
          </w:tcPr>
          <w:p w:rsidR="00F90DE7" w:rsidRPr="006A15A3" w:rsidRDefault="00F90DE7" w:rsidP="000C5327">
            <w:pPr>
              <w:widowControl w:val="0"/>
              <w:autoSpaceDE w:val="0"/>
              <w:autoSpaceDN w:val="0"/>
              <w:adjustRightInd w:val="0"/>
              <w:spacing w:after="0" w:line="0" w:lineRule="atLeast"/>
              <w:rPr>
                <w:rFonts w:ascii="Arial" w:hAnsi="Arial" w:cs="Arial"/>
                <w:b/>
                <w:sz w:val="20"/>
                <w:szCs w:val="20"/>
              </w:rPr>
            </w:pPr>
            <w:r w:rsidRPr="006A15A3">
              <w:rPr>
                <w:rFonts w:ascii="Arial" w:hAnsi="Arial" w:cs="Arial"/>
                <w:b/>
                <w:sz w:val="20"/>
                <w:szCs w:val="20"/>
              </w:rPr>
              <w:t>Total Sales growth %</w:t>
            </w:r>
          </w:p>
        </w:tc>
        <w:tc>
          <w:tcPr>
            <w:tcW w:w="1937" w:type="dxa"/>
            <w:vAlign w:val="bottom"/>
          </w:tcPr>
          <w:p w:rsidR="00F90DE7" w:rsidRPr="00767A96" w:rsidRDefault="00F90DE7" w:rsidP="000C5327">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12.0%</w:t>
            </w:r>
          </w:p>
        </w:tc>
        <w:tc>
          <w:tcPr>
            <w:tcW w:w="1937" w:type="dxa"/>
            <w:vAlign w:val="bottom"/>
          </w:tcPr>
          <w:p w:rsidR="00F90DE7" w:rsidRPr="00767A96" w:rsidRDefault="00F90DE7" w:rsidP="000C5327">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8.9%</w:t>
            </w:r>
          </w:p>
        </w:tc>
        <w:tc>
          <w:tcPr>
            <w:tcW w:w="1937" w:type="dxa"/>
            <w:vAlign w:val="bottom"/>
          </w:tcPr>
          <w:p w:rsidR="00F90DE7" w:rsidRPr="00767A96" w:rsidRDefault="00F90DE7" w:rsidP="000C5327">
            <w:pPr>
              <w:widowControl w:val="0"/>
              <w:autoSpaceDE w:val="0"/>
              <w:autoSpaceDN w:val="0"/>
              <w:adjustRightInd w:val="0"/>
              <w:spacing w:after="0" w:line="0" w:lineRule="atLeast"/>
              <w:jc w:val="right"/>
              <w:rPr>
                <w:rFonts w:ascii="Arial" w:hAnsi="Arial" w:cs="Arial"/>
                <w:b/>
                <w:sz w:val="20"/>
                <w:szCs w:val="20"/>
              </w:rPr>
            </w:pPr>
            <w:r w:rsidRPr="00767A96">
              <w:rPr>
                <w:rFonts w:ascii="Arial" w:hAnsi="Arial" w:cs="Arial"/>
                <w:b/>
                <w:sz w:val="20"/>
                <w:szCs w:val="20"/>
              </w:rPr>
              <w:t>13.5%</w:t>
            </w:r>
          </w:p>
        </w:tc>
      </w:tr>
    </w:tbl>
    <w:p w:rsidR="00367AFF" w:rsidRPr="001D7885" w:rsidRDefault="00367AFF" w:rsidP="000C5327">
      <w:pPr>
        <w:widowControl w:val="0"/>
        <w:autoSpaceDE w:val="0"/>
        <w:autoSpaceDN w:val="0"/>
        <w:adjustRightInd w:val="0"/>
        <w:spacing w:after="0" w:line="0" w:lineRule="atLeast"/>
        <w:rPr>
          <w:rFonts w:ascii="Arial" w:hAnsi="Arial" w:cs="Arial"/>
          <w:sz w:val="20"/>
          <w:szCs w:val="20"/>
        </w:rPr>
      </w:pPr>
    </w:p>
    <w:p w:rsidR="00367AFF" w:rsidRPr="00E131E9" w:rsidRDefault="00367AFF" w:rsidP="00367AFF">
      <w:pPr>
        <w:widowControl w:val="0"/>
        <w:autoSpaceDE w:val="0"/>
        <w:autoSpaceDN w:val="0"/>
        <w:adjustRightInd w:val="0"/>
        <w:rPr>
          <w:rFonts w:ascii="Arial" w:hAnsi="Arial" w:cs="Arial"/>
          <w:sz w:val="20"/>
          <w:szCs w:val="20"/>
        </w:rPr>
      </w:pPr>
    </w:p>
    <w:p w:rsidR="00367AFF" w:rsidRPr="00E131E9" w:rsidRDefault="00367AFF" w:rsidP="00367AFF">
      <w:pPr>
        <w:widowControl w:val="0"/>
        <w:autoSpaceDE w:val="0"/>
        <w:autoSpaceDN w:val="0"/>
        <w:adjustRightInd w:val="0"/>
        <w:rPr>
          <w:rFonts w:ascii="Arial" w:hAnsi="Arial" w:cs="Arial"/>
          <w:sz w:val="20"/>
          <w:szCs w:val="20"/>
        </w:rPr>
      </w:pPr>
      <w:r w:rsidRPr="00E131E9">
        <w:rPr>
          <w:rFonts w:ascii="Arial" w:hAnsi="Arial" w:cs="Arial"/>
          <w:b/>
          <w:bCs/>
          <w:sz w:val="20"/>
          <w:szCs w:val="20"/>
        </w:rPr>
        <w:t>FOGL investment</w:t>
      </w:r>
    </w:p>
    <w:p w:rsidR="00367AFF" w:rsidRPr="00B06AC4" w:rsidRDefault="00367AFF" w:rsidP="000C5327">
      <w:pPr>
        <w:widowControl w:val="0"/>
        <w:overflowPunct w:val="0"/>
        <w:autoSpaceDE w:val="0"/>
        <w:autoSpaceDN w:val="0"/>
        <w:adjustRightInd w:val="0"/>
        <w:rPr>
          <w:rFonts w:ascii="Arial" w:hAnsi="Arial" w:cs="Arial"/>
          <w:sz w:val="20"/>
          <w:szCs w:val="20"/>
        </w:rPr>
      </w:pPr>
      <w:r w:rsidRPr="00E131E9">
        <w:rPr>
          <w:rFonts w:ascii="Arial" w:hAnsi="Arial" w:cs="Arial"/>
          <w:sz w:val="20"/>
          <w:szCs w:val="20"/>
        </w:rPr>
        <w:t>Details of the Group’s sharehol</w:t>
      </w:r>
      <w:r w:rsidR="000C5327">
        <w:rPr>
          <w:rFonts w:ascii="Arial" w:hAnsi="Arial" w:cs="Arial"/>
          <w:sz w:val="20"/>
          <w:szCs w:val="20"/>
        </w:rPr>
        <w:t>ding in FOGL are set out below:</w:t>
      </w:r>
    </w:p>
    <w:tbl>
      <w:tblPr>
        <w:tblW w:w="8994" w:type="dxa"/>
        <w:tblInd w:w="220" w:type="dxa"/>
        <w:tblLayout w:type="fixed"/>
        <w:tblCellMar>
          <w:left w:w="0" w:type="dxa"/>
          <w:right w:w="0" w:type="dxa"/>
        </w:tblCellMar>
        <w:tblLook w:val="0000" w:firstRow="0" w:lastRow="0" w:firstColumn="0" w:lastColumn="0" w:noHBand="0" w:noVBand="0"/>
      </w:tblPr>
      <w:tblGrid>
        <w:gridCol w:w="5450"/>
        <w:gridCol w:w="3544"/>
      </w:tblGrid>
      <w:tr w:rsidR="00367AFF" w:rsidRPr="00E131E9" w:rsidTr="00367AFF">
        <w:trPr>
          <w:trHeight w:val="142"/>
        </w:trPr>
        <w:tc>
          <w:tcPr>
            <w:tcW w:w="5450"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r w:rsidRPr="00E131E9">
              <w:rPr>
                <w:rFonts w:ascii="Arial" w:hAnsi="Arial" w:cs="Arial"/>
                <w:sz w:val="20"/>
                <w:szCs w:val="20"/>
              </w:rPr>
              <w:t xml:space="preserve"> 31 March</w:t>
            </w:r>
          </w:p>
        </w:tc>
        <w:tc>
          <w:tcPr>
            <w:tcW w:w="3544" w:type="dxa"/>
            <w:tcBorders>
              <w:top w:val="nil"/>
              <w:left w:val="nil"/>
              <w:bottom w:val="nil"/>
              <w:right w:val="nil"/>
            </w:tcBorders>
            <w:vAlign w:val="bottom"/>
          </w:tcPr>
          <w:p w:rsidR="00367AFF" w:rsidRPr="00E131E9" w:rsidRDefault="00367AFF" w:rsidP="000C5327">
            <w:pPr>
              <w:widowControl w:val="0"/>
              <w:autoSpaceDE w:val="0"/>
              <w:autoSpaceDN w:val="0"/>
              <w:adjustRightInd w:val="0"/>
              <w:spacing w:after="0" w:line="240" w:lineRule="auto"/>
              <w:ind w:right="83"/>
              <w:jc w:val="right"/>
              <w:rPr>
                <w:rFonts w:ascii="Arial" w:hAnsi="Arial" w:cs="Arial"/>
                <w:sz w:val="20"/>
                <w:szCs w:val="20"/>
              </w:rPr>
            </w:pPr>
            <w:r>
              <w:rPr>
                <w:rFonts w:ascii="Arial" w:hAnsi="Arial" w:cs="Arial"/>
                <w:sz w:val="20"/>
                <w:szCs w:val="20"/>
              </w:rPr>
              <w:t>2014</w:t>
            </w:r>
          </w:p>
        </w:tc>
      </w:tr>
      <w:tr w:rsidR="00367AFF" w:rsidRPr="00E131E9" w:rsidTr="00367AFF">
        <w:trPr>
          <w:trHeight w:val="407"/>
        </w:trPr>
        <w:tc>
          <w:tcPr>
            <w:tcW w:w="5450" w:type="dxa"/>
            <w:tcBorders>
              <w:top w:val="nil"/>
              <w:left w:val="nil"/>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r w:rsidRPr="00E131E9">
              <w:rPr>
                <w:rFonts w:ascii="Arial" w:hAnsi="Arial" w:cs="Arial"/>
                <w:sz w:val="20"/>
                <w:szCs w:val="20"/>
              </w:rPr>
              <w:t>Number of shares held</w:t>
            </w:r>
          </w:p>
        </w:tc>
        <w:tc>
          <w:tcPr>
            <w:tcW w:w="3544" w:type="dxa"/>
            <w:tcBorders>
              <w:top w:val="nil"/>
              <w:left w:val="nil"/>
              <w:right w:val="nil"/>
            </w:tcBorders>
            <w:vAlign w:val="bottom"/>
          </w:tcPr>
          <w:p w:rsidR="00367AFF" w:rsidRPr="00E131E9" w:rsidRDefault="00367AFF" w:rsidP="000C5327">
            <w:pPr>
              <w:widowControl w:val="0"/>
              <w:autoSpaceDE w:val="0"/>
              <w:autoSpaceDN w:val="0"/>
              <w:adjustRightInd w:val="0"/>
              <w:spacing w:after="0" w:line="240" w:lineRule="auto"/>
              <w:ind w:right="83"/>
              <w:jc w:val="right"/>
              <w:rPr>
                <w:rFonts w:ascii="Arial" w:hAnsi="Arial" w:cs="Arial"/>
                <w:sz w:val="20"/>
                <w:szCs w:val="20"/>
              </w:rPr>
            </w:pPr>
            <w:r w:rsidRPr="00E131E9">
              <w:rPr>
                <w:rFonts w:ascii="Arial" w:hAnsi="Arial" w:cs="Arial"/>
                <w:sz w:val="20"/>
                <w:szCs w:val="20"/>
              </w:rPr>
              <w:t>12</w:t>
            </w:r>
            <w:r>
              <w:rPr>
                <w:rFonts w:ascii="Arial" w:hAnsi="Arial" w:cs="Arial"/>
                <w:sz w:val="20"/>
                <w:szCs w:val="20"/>
              </w:rPr>
              <w:t>,</w:t>
            </w:r>
            <w:r w:rsidRPr="00E131E9">
              <w:rPr>
                <w:rFonts w:ascii="Arial" w:hAnsi="Arial" w:cs="Arial"/>
                <w:sz w:val="20"/>
                <w:szCs w:val="20"/>
              </w:rPr>
              <w:t>825,000</w:t>
            </w:r>
          </w:p>
        </w:tc>
      </w:tr>
      <w:tr w:rsidR="00367AFF" w:rsidRPr="00E131E9" w:rsidTr="00367AFF">
        <w:trPr>
          <w:trHeight w:val="25"/>
        </w:trPr>
        <w:tc>
          <w:tcPr>
            <w:tcW w:w="5450"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p>
        </w:tc>
        <w:tc>
          <w:tcPr>
            <w:tcW w:w="3544"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p>
        </w:tc>
      </w:tr>
      <w:tr w:rsidR="00367AFF" w:rsidRPr="00E131E9" w:rsidTr="00367AFF">
        <w:trPr>
          <w:trHeight w:val="238"/>
        </w:trPr>
        <w:tc>
          <w:tcPr>
            <w:tcW w:w="5450" w:type="dxa"/>
            <w:tcBorders>
              <w:top w:val="single" w:sz="4" w:space="0" w:color="auto"/>
              <w:left w:val="nil"/>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r w:rsidRPr="00E131E9">
              <w:rPr>
                <w:rFonts w:ascii="Arial" w:hAnsi="Arial" w:cs="Arial"/>
                <w:sz w:val="20"/>
                <w:szCs w:val="20"/>
              </w:rPr>
              <w:t>FOGL share price (bid price)</w:t>
            </w:r>
          </w:p>
        </w:tc>
        <w:tc>
          <w:tcPr>
            <w:tcW w:w="3544" w:type="dxa"/>
            <w:tcBorders>
              <w:top w:val="single" w:sz="4" w:space="0" w:color="auto"/>
              <w:left w:val="nil"/>
              <w:right w:val="nil"/>
            </w:tcBorders>
            <w:vAlign w:val="bottom"/>
          </w:tcPr>
          <w:p w:rsidR="00367AFF" w:rsidRPr="00E131E9" w:rsidRDefault="00367AFF" w:rsidP="000C5327">
            <w:pPr>
              <w:widowControl w:val="0"/>
              <w:autoSpaceDE w:val="0"/>
              <w:autoSpaceDN w:val="0"/>
              <w:adjustRightInd w:val="0"/>
              <w:spacing w:after="0" w:line="240" w:lineRule="auto"/>
              <w:ind w:right="83"/>
              <w:jc w:val="right"/>
              <w:rPr>
                <w:rFonts w:ascii="Arial" w:hAnsi="Arial" w:cs="Arial"/>
                <w:sz w:val="20"/>
                <w:szCs w:val="20"/>
              </w:rPr>
            </w:pPr>
            <w:r>
              <w:rPr>
                <w:rFonts w:ascii="Arial" w:hAnsi="Arial" w:cs="Arial"/>
                <w:sz w:val="20"/>
                <w:szCs w:val="20"/>
              </w:rPr>
              <w:t>25.5p</w:t>
            </w:r>
          </w:p>
        </w:tc>
      </w:tr>
      <w:tr w:rsidR="00367AFF" w:rsidRPr="00E131E9" w:rsidTr="00367AFF">
        <w:trPr>
          <w:trHeight w:val="25"/>
        </w:trPr>
        <w:tc>
          <w:tcPr>
            <w:tcW w:w="5450"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p>
        </w:tc>
        <w:tc>
          <w:tcPr>
            <w:tcW w:w="3544"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p>
        </w:tc>
      </w:tr>
      <w:tr w:rsidR="00367AFF" w:rsidRPr="00E131E9" w:rsidTr="00367AFF">
        <w:trPr>
          <w:trHeight w:val="239"/>
        </w:trPr>
        <w:tc>
          <w:tcPr>
            <w:tcW w:w="5450" w:type="dxa"/>
            <w:tcBorders>
              <w:top w:val="single" w:sz="4" w:space="0" w:color="auto"/>
              <w:left w:val="nil"/>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r w:rsidRPr="00E131E9">
              <w:rPr>
                <w:rFonts w:ascii="Arial" w:hAnsi="Arial" w:cs="Arial"/>
                <w:sz w:val="20"/>
                <w:szCs w:val="20"/>
              </w:rPr>
              <w:t>Market value of holding</w:t>
            </w:r>
          </w:p>
        </w:tc>
        <w:tc>
          <w:tcPr>
            <w:tcW w:w="3544" w:type="dxa"/>
            <w:tcBorders>
              <w:top w:val="single" w:sz="4" w:space="0" w:color="auto"/>
              <w:left w:val="nil"/>
              <w:right w:val="nil"/>
            </w:tcBorders>
            <w:vAlign w:val="bottom"/>
          </w:tcPr>
          <w:p w:rsidR="00367AFF" w:rsidRPr="00E131E9" w:rsidRDefault="00367AFF" w:rsidP="000C5327">
            <w:pPr>
              <w:widowControl w:val="0"/>
              <w:autoSpaceDE w:val="0"/>
              <w:autoSpaceDN w:val="0"/>
              <w:adjustRightInd w:val="0"/>
              <w:spacing w:after="0" w:line="240" w:lineRule="auto"/>
              <w:ind w:right="83"/>
              <w:jc w:val="right"/>
              <w:rPr>
                <w:rFonts w:ascii="Arial" w:hAnsi="Arial" w:cs="Arial"/>
                <w:sz w:val="20"/>
                <w:szCs w:val="20"/>
              </w:rPr>
            </w:pPr>
            <w:r w:rsidRPr="00E131E9">
              <w:rPr>
                <w:rFonts w:ascii="Arial" w:hAnsi="Arial" w:cs="Arial"/>
                <w:sz w:val="20"/>
                <w:szCs w:val="20"/>
              </w:rPr>
              <w:t>£3</w:t>
            </w:r>
            <w:r>
              <w:rPr>
                <w:rFonts w:ascii="Arial" w:hAnsi="Arial" w:cs="Arial"/>
                <w:sz w:val="20"/>
                <w:szCs w:val="20"/>
              </w:rPr>
              <w:t>.27m</w:t>
            </w:r>
          </w:p>
        </w:tc>
      </w:tr>
      <w:tr w:rsidR="00367AFF" w:rsidRPr="00E131E9" w:rsidTr="00367AFF">
        <w:trPr>
          <w:trHeight w:val="25"/>
        </w:trPr>
        <w:tc>
          <w:tcPr>
            <w:tcW w:w="5450"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p>
        </w:tc>
        <w:tc>
          <w:tcPr>
            <w:tcW w:w="3544"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p>
        </w:tc>
      </w:tr>
      <w:tr w:rsidR="00367AFF" w:rsidRPr="00E131E9" w:rsidTr="00367AFF">
        <w:trPr>
          <w:trHeight w:val="239"/>
        </w:trPr>
        <w:tc>
          <w:tcPr>
            <w:tcW w:w="5450" w:type="dxa"/>
            <w:tcBorders>
              <w:top w:val="single" w:sz="4" w:space="0" w:color="auto"/>
              <w:left w:val="nil"/>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r w:rsidRPr="00E131E9">
              <w:rPr>
                <w:rFonts w:ascii="Arial" w:hAnsi="Arial" w:cs="Arial"/>
                <w:sz w:val="20"/>
                <w:szCs w:val="20"/>
              </w:rPr>
              <w:t>Cost</w:t>
            </w:r>
          </w:p>
        </w:tc>
        <w:tc>
          <w:tcPr>
            <w:tcW w:w="3544" w:type="dxa"/>
            <w:tcBorders>
              <w:top w:val="single" w:sz="4" w:space="0" w:color="auto"/>
              <w:left w:val="nil"/>
              <w:right w:val="nil"/>
            </w:tcBorders>
            <w:vAlign w:val="bottom"/>
          </w:tcPr>
          <w:p w:rsidR="00367AFF" w:rsidRPr="00E131E9" w:rsidRDefault="00367AFF" w:rsidP="000C5327">
            <w:pPr>
              <w:widowControl w:val="0"/>
              <w:autoSpaceDE w:val="0"/>
              <w:autoSpaceDN w:val="0"/>
              <w:adjustRightInd w:val="0"/>
              <w:spacing w:after="0" w:line="240" w:lineRule="auto"/>
              <w:ind w:right="83"/>
              <w:jc w:val="right"/>
              <w:rPr>
                <w:rFonts w:ascii="Arial" w:hAnsi="Arial" w:cs="Arial"/>
                <w:sz w:val="20"/>
                <w:szCs w:val="20"/>
              </w:rPr>
            </w:pPr>
            <w:r w:rsidRPr="00E131E9">
              <w:rPr>
                <w:rFonts w:ascii="Arial" w:hAnsi="Arial" w:cs="Arial"/>
                <w:sz w:val="20"/>
                <w:szCs w:val="20"/>
              </w:rPr>
              <w:t>£2.6m</w:t>
            </w:r>
          </w:p>
        </w:tc>
      </w:tr>
      <w:tr w:rsidR="00367AFF" w:rsidRPr="00E131E9" w:rsidTr="00367AFF">
        <w:trPr>
          <w:trHeight w:val="25"/>
        </w:trPr>
        <w:tc>
          <w:tcPr>
            <w:tcW w:w="5450"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p>
        </w:tc>
        <w:tc>
          <w:tcPr>
            <w:tcW w:w="3544" w:type="dxa"/>
            <w:tcBorders>
              <w:top w:val="nil"/>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p>
        </w:tc>
      </w:tr>
      <w:tr w:rsidR="00367AFF" w:rsidRPr="00E131E9" w:rsidTr="00367AFF">
        <w:trPr>
          <w:trHeight w:val="292"/>
        </w:trPr>
        <w:tc>
          <w:tcPr>
            <w:tcW w:w="5450" w:type="dxa"/>
            <w:tcBorders>
              <w:top w:val="single" w:sz="4" w:space="0" w:color="auto"/>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240" w:lineRule="auto"/>
              <w:rPr>
                <w:rFonts w:ascii="Arial" w:hAnsi="Arial" w:cs="Arial"/>
                <w:sz w:val="20"/>
                <w:szCs w:val="20"/>
              </w:rPr>
            </w:pPr>
            <w:r w:rsidRPr="00E131E9">
              <w:rPr>
                <w:rFonts w:ascii="Arial" w:hAnsi="Arial" w:cs="Arial"/>
                <w:sz w:val="20"/>
                <w:szCs w:val="20"/>
              </w:rPr>
              <w:t>Book cost per share</w:t>
            </w:r>
          </w:p>
        </w:tc>
        <w:tc>
          <w:tcPr>
            <w:tcW w:w="3544" w:type="dxa"/>
            <w:tcBorders>
              <w:top w:val="single" w:sz="4" w:space="0" w:color="auto"/>
              <w:left w:val="nil"/>
              <w:bottom w:val="single" w:sz="4" w:space="0" w:color="auto"/>
              <w:right w:val="nil"/>
            </w:tcBorders>
            <w:vAlign w:val="bottom"/>
          </w:tcPr>
          <w:p w:rsidR="00367AFF" w:rsidRPr="00E131E9" w:rsidRDefault="00367AFF" w:rsidP="000C5327">
            <w:pPr>
              <w:widowControl w:val="0"/>
              <w:autoSpaceDE w:val="0"/>
              <w:autoSpaceDN w:val="0"/>
              <w:adjustRightInd w:val="0"/>
              <w:spacing w:after="0" w:line="240" w:lineRule="auto"/>
              <w:ind w:right="83"/>
              <w:jc w:val="right"/>
              <w:rPr>
                <w:rFonts w:ascii="Arial" w:hAnsi="Arial" w:cs="Arial"/>
                <w:sz w:val="20"/>
                <w:szCs w:val="20"/>
              </w:rPr>
            </w:pPr>
            <w:r w:rsidRPr="00E131E9">
              <w:rPr>
                <w:rFonts w:ascii="Arial" w:hAnsi="Arial" w:cs="Arial"/>
                <w:sz w:val="20"/>
                <w:szCs w:val="20"/>
              </w:rPr>
              <w:t>20.0p</w:t>
            </w:r>
          </w:p>
        </w:tc>
      </w:tr>
    </w:tbl>
    <w:p w:rsidR="00367AFF" w:rsidRPr="00E131E9" w:rsidRDefault="00367AFF" w:rsidP="000C5327">
      <w:pPr>
        <w:widowControl w:val="0"/>
        <w:autoSpaceDE w:val="0"/>
        <w:autoSpaceDN w:val="0"/>
        <w:adjustRightInd w:val="0"/>
        <w:spacing w:after="0" w:line="240" w:lineRule="auto"/>
        <w:rPr>
          <w:rFonts w:ascii="Arial" w:hAnsi="Arial" w:cs="Arial"/>
          <w:sz w:val="20"/>
          <w:szCs w:val="20"/>
        </w:rPr>
      </w:pPr>
    </w:p>
    <w:p w:rsidR="00367AFF" w:rsidRPr="00E131E9" w:rsidRDefault="00367AFF" w:rsidP="000C5327">
      <w:pPr>
        <w:widowControl w:val="0"/>
        <w:overflowPunct w:val="0"/>
        <w:autoSpaceDE w:val="0"/>
        <w:autoSpaceDN w:val="0"/>
        <w:adjustRightInd w:val="0"/>
        <w:ind w:left="142"/>
        <w:rPr>
          <w:rFonts w:ascii="Arial" w:hAnsi="Arial" w:cs="Arial"/>
          <w:sz w:val="20"/>
          <w:szCs w:val="20"/>
        </w:rPr>
      </w:pPr>
      <w:r w:rsidRPr="00E131E9">
        <w:rPr>
          <w:rFonts w:ascii="Arial" w:hAnsi="Arial" w:cs="Arial"/>
          <w:sz w:val="20"/>
          <w:szCs w:val="20"/>
        </w:rPr>
        <w:t>The market value of</w:t>
      </w:r>
      <w:r>
        <w:rPr>
          <w:rFonts w:ascii="Arial" w:hAnsi="Arial" w:cs="Arial"/>
          <w:sz w:val="20"/>
          <w:szCs w:val="20"/>
        </w:rPr>
        <w:t xml:space="preserve"> </w:t>
      </w:r>
      <w:r w:rsidR="00797C10">
        <w:rPr>
          <w:rFonts w:ascii="Arial" w:hAnsi="Arial" w:cs="Arial"/>
          <w:sz w:val="20"/>
          <w:szCs w:val="20"/>
        </w:rPr>
        <w:t>the Group</w:t>
      </w:r>
      <w:r w:rsidR="00C5159F">
        <w:rPr>
          <w:rFonts w:ascii="Arial" w:hAnsi="Arial" w:cs="Arial"/>
          <w:sz w:val="20"/>
          <w:szCs w:val="20"/>
        </w:rPr>
        <w:t>’</w:t>
      </w:r>
      <w:r w:rsidR="00797C10">
        <w:rPr>
          <w:rFonts w:ascii="Arial" w:hAnsi="Arial" w:cs="Arial"/>
          <w:sz w:val="20"/>
          <w:szCs w:val="20"/>
        </w:rPr>
        <w:t xml:space="preserve">s 2.4% </w:t>
      </w:r>
      <w:r>
        <w:rPr>
          <w:rFonts w:ascii="Arial" w:hAnsi="Arial" w:cs="Arial"/>
          <w:sz w:val="20"/>
          <w:szCs w:val="20"/>
        </w:rPr>
        <w:t xml:space="preserve">shareholding on </w:t>
      </w:r>
      <w:r w:rsidR="00B7148E">
        <w:rPr>
          <w:rFonts w:ascii="Arial" w:hAnsi="Arial" w:cs="Arial"/>
          <w:sz w:val="20"/>
          <w:szCs w:val="20"/>
        </w:rPr>
        <w:t>6</w:t>
      </w:r>
      <w:r>
        <w:rPr>
          <w:rFonts w:ascii="Arial" w:hAnsi="Arial" w:cs="Arial"/>
          <w:sz w:val="20"/>
          <w:szCs w:val="20"/>
        </w:rPr>
        <w:t xml:space="preserve"> June 2014</w:t>
      </w:r>
      <w:r w:rsidRPr="00E131E9">
        <w:rPr>
          <w:rFonts w:ascii="Arial" w:hAnsi="Arial" w:cs="Arial"/>
          <w:sz w:val="20"/>
          <w:szCs w:val="20"/>
        </w:rPr>
        <w:t xml:space="preserve"> was £</w:t>
      </w:r>
      <w:r w:rsidR="001C1AA7">
        <w:rPr>
          <w:rFonts w:ascii="Arial" w:hAnsi="Arial" w:cs="Arial"/>
          <w:sz w:val="20"/>
          <w:szCs w:val="20"/>
        </w:rPr>
        <w:t>3.30</w:t>
      </w:r>
      <w:r w:rsidR="000C5327">
        <w:rPr>
          <w:rFonts w:ascii="Arial" w:hAnsi="Arial" w:cs="Arial"/>
          <w:sz w:val="20"/>
          <w:szCs w:val="20"/>
        </w:rPr>
        <w:t xml:space="preserve"> million.</w:t>
      </w:r>
    </w:p>
    <w:p w:rsidR="00367AFF" w:rsidRPr="000C5327" w:rsidRDefault="000C5327" w:rsidP="000C5327">
      <w:pPr>
        <w:widowControl w:val="0"/>
        <w:autoSpaceDE w:val="0"/>
        <w:autoSpaceDN w:val="0"/>
        <w:adjustRightInd w:val="0"/>
        <w:ind w:left="142"/>
        <w:rPr>
          <w:rFonts w:ascii="Arial" w:hAnsi="Arial" w:cs="Arial"/>
          <w:b/>
          <w:bCs/>
          <w:sz w:val="20"/>
          <w:szCs w:val="20"/>
        </w:rPr>
      </w:pPr>
      <w:r>
        <w:rPr>
          <w:rFonts w:ascii="Arial" w:hAnsi="Arial" w:cs="Arial"/>
          <w:b/>
          <w:bCs/>
          <w:sz w:val="20"/>
          <w:szCs w:val="20"/>
        </w:rPr>
        <w:t>Trading outlook</w:t>
      </w:r>
    </w:p>
    <w:p w:rsidR="00367AFF" w:rsidRDefault="00367AFF" w:rsidP="000C5327">
      <w:pPr>
        <w:widowControl w:val="0"/>
        <w:overflowPunct w:val="0"/>
        <w:autoSpaceDE w:val="0"/>
        <w:autoSpaceDN w:val="0"/>
        <w:adjustRightInd w:val="0"/>
        <w:ind w:left="142"/>
        <w:jc w:val="both"/>
        <w:rPr>
          <w:rFonts w:ascii="Arial" w:hAnsi="Arial" w:cs="Arial"/>
          <w:sz w:val="20"/>
          <w:szCs w:val="20"/>
        </w:rPr>
      </w:pPr>
      <w:r w:rsidRPr="00E131E9">
        <w:rPr>
          <w:rFonts w:ascii="Arial" w:hAnsi="Arial" w:cs="Arial"/>
          <w:sz w:val="20"/>
          <w:szCs w:val="20"/>
        </w:rPr>
        <w:t xml:space="preserve">The Group’s prospects for growth in the medium term </w:t>
      </w:r>
      <w:r>
        <w:rPr>
          <w:rFonts w:ascii="Arial" w:hAnsi="Arial" w:cs="Arial"/>
          <w:sz w:val="20"/>
          <w:szCs w:val="20"/>
        </w:rPr>
        <w:t>remain</w:t>
      </w:r>
      <w:r w:rsidRPr="00E131E9">
        <w:rPr>
          <w:rFonts w:ascii="Arial" w:hAnsi="Arial" w:cs="Arial"/>
          <w:sz w:val="20"/>
          <w:szCs w:val="20"/>
        </w:rPr>
        <w:t xml:space="preserve"> outstanding</w:t>
      </w:r>
      <w:r w:rsidR="000C5327">
        <w:rPr>
          <w:rFonts w:ascii="Arial" w:hAnsi="Arial" w:cs="Arial"/>
          <w:sz w:val="20"/>
          <w:szCs w:val="20"/>
        </w:rPr>
        <w:t>.</w:t>
      </w:r>
    </w:p>
    <w:p w:rsidR="00367AFF" w:rsidRDefault="00367AFF" w:rsidP="000C5327">
      <w:pPr>
        <w:widowControl w:val="0"/>
        <w:overflowPunct w:val="0"/>
        <w:autoSpaceDE w:val="0"/>
        <w:autoSpaceDN w:val="0"/>
        <w:adjustRightInd w:val="0"/>
        <w:ind w:left="142"/>
        <w:jc w:val="both"/>
        <w:rPr>
          <w:rFonts w:ascii="Arial" w:hAnsi="Arial" w:cs="Arial"/>
          <w:sz w:val="20"/>
          <w:szCs w:val="20"/>
        </w:rPr>
      </w:pPr>
      <w:r>
        <w:rPr>
          <w:rFonts w:ascii="Arial" w:hAnsi="Arial" w:cs="Arial"/>
          <w:sz w:val="20"/>
          <w:szCs w:val="20"/>
        </w:rPr>
        <w:t xml:space="preserve">In the Falklands, delays in the development of the Sea Lion oil field have slowed progress but the size of the discovery is such that its future development </w:t>
      </w:r>
      <w:r w:rsidR="00797C10">
        <w:rPr>
          <w:rFonts w:ascii="Arial" w:hAnsi="Arial" w:cs="Arial"/>
          <w:sz w:val="20"/>
          <w:szCs w:val="20"/>
        </w:rPr>
        <w:t>seems</w:t>
      </w:r>
      <w:r>
        <w:rPr>
          <w:rFonts w:ascii="Arial" w:hAnsi="Arial" w:cs="Arial"/>
          <w:sz w:val="20"/>
          <w:szCs w:val="20"/>
        </w:rPr>
        <w:t xml:space="preserve"> assured.</w:t>
      </w:r>
      <w:r w:rsidR="008824D2">
        <w:rPr>
          <w:rFonts w:ascii="Arial" w:hAnsi="Arial" w:cs="Arial"/>
          <w:sz w:val="20"/>
          <w:szCs w:val="20"/>
        </w:rPr>
        <w:t xml:space="preserve"> </w:t>
      </w:r>
      <w:r>
        <w:rPr>
          <w:rFonts w:ascii="Arial" w:hAnsi="Arial" w:cs="Arial"/>
          <w:sz w:val="20"/>
          <w:szCs w:val="20"/>
        </w:rPr>
        <w:t xml:space="preserve">With the added potential of positive results from the 2015 drilling campaign, the prospects for dramatic growth for the Falkland Islands </w:t>
      </w:r>
      <w:r w:rsidR="00305E47">
        <w:rPr>
          <w:rFonts w:ascii="Arial" w:hAnsi="Arial" w:cs="Arial"/>
          <w:sz w:val="20"/>
          <w:szCs w:val="20"/>
        </w:rPr>
        <w:t xml:space="preserve">economy </w:t>
      </w:r>
      <w:r>
        <w:rPr>
          <w:rFonts w:ascii="Arial" w:hAnsi="Arial" w:cs="Arial"/>
          <w:sz w:val="20"/>
          <w:szCs w:val="20"/>
        </w:rPr>
        <w:t xml:space="preserve">over </w:t>
      </w:r>
      <w:r w:rsidR="000C5327">
        <w:rPr>
          <w:rFonts w:ascii="Arial" w:hAnsi="Arial" w:cs="Arial"/>
          <w:sz w:val="20"/>
          <w:szCs w:val="20"/>
        </w:rPr>
        <w:t xml:space="preserve">the medium term remain. </w:t>
      </w:r>
    </w:p>
    <w:p w:rsidR="00367AFF" w:rsidRPr="00E131E9" w:rsidRDefault="00367AFF" w:rsidP="000C5327">
      <w:pPr>
        <w:widowControl w:val="0"/>
        <w:overflowPunct w:val="0"/>
        <w:autoSpaceDE w:val="0"/>
        <w:autoSpaceDN w:val="0"/>
        <w:adjustRightInd w:val="0"/>
        <w:ind w:left="142"/>
        <w:jc w:val="both"/>
        <w:rPr>
          <w:rFonts w:ascii="Arial" w:hAnsi="Arial" w:cs="Arial"/>
          <w:sz w:val="20"/>
          <w:szCs w:val="20"/>
        </w:rPr>
      </w:pPr>
      <w:r>
        <w:rPr>
          <w:rFonts w:ascii="Arial" w:hAnsi="Arial" w:cs="Arial"/>
          <w:sz w:val="20"/>
          <w:szCs w:val="20"/>
        </w:rPr>
        <w:t xml:space="preserve">At PHFC the stabilisation in passenger numbers is encouraging and this should be helped by the recent change in travel policy by the Ministry of Defence and the longer term outlook for growth at the Portsmouth Dockyard.  </w:t>
      </w:r>
    </w:p>
    <w:p w:rsidR="00367AFF" w:rsidRPr="00E131E9" w:rsidRDefault="00367AFF" w:rsidP="000C5327">
      <w:pPr>
        <w:widowControl w:val="0"/>
        <w:overflowPunct w:val="0"/>
        <w:autoSpaceDE w:val="0"/>
        <w:autoSpaceDN w:val="0"/>
        <w:adjustRightInd w:val="0"/>
        <w:ind w:left="142"/>
        <w:jc w:val="both"/>
        <w:rPr>
          <w:rFonts w:ascii="Arial" w:hAnsi="Arial" w:cs="Arial"/>
          <w:sz w:val="20"/>
          <w:szCs w:val="20"/>
        </w:rPr>
      </w:pPr>
      <w:r>
        <w:rPr>
          <w:rFonts w:ascii="Arial" w:hAnsi="Arial" w:cs="Arial"/>
          <w:sz w:val="20"/>
          <w:szCs w:val="20"/>
        </w:rPr>
        <w:t xml:space="preserve">At </w:t>
      </w:r>
      <w:proofErr w:type="spellStart"/>
      <w:r>
        <w:rPr>
          <w:rFonts w:ascii="Arial" w:hAnsi="Arial" w:cs="Arial"/>
          <w:sz w:val="20"/>
          <w:szCs w:val="20"/>
        </w:rPr>
        <w:t>Momart</w:t>
      </w:r>
      <w:proofErr w:type="spellEnd"/>
      <w:r>
        <w:rPr>
          <w:rFonts w:ascii="Arial" w:hAnsi="Arial" w:cs="Arial"/>
          <w:sz w:val="20"/>
          <w:szCs w:val="20"/>
        </w:rPr>
        <w:t xml:space="preserve">, although we do not anticipate an immediate repetition of the exceptional performance seen in the year ended 31 March 2014, underlying growth prospects in this high quality business remain </w:t>
      </w:r>
      <w:r w:rsidR="00305E47">
        <w:rPr>
          <w:rFonts w:ascii="Arial" w:hAnsi="Arial" w:cs="Arial"/>
          <w:sz w:val="20"/>
          <w:szCs w:val="20"/>
        </w:rPr>
        <w:t>good.</w:t>
      </w:r>
    </w:p>
    <w:p w:rsidR="00367AFF" w:rsidRDefault="00367AFF" w:rsidP="00367AFF">
      <w:pPr>
        <w:widowControl w:val="0"/>
        <w:autoSpaceDE w:val="0"/>
        <w:autoSpaceDN w:val="0"/>
        <w:adjustRightInd w:val="0"/>
        <w:ind w:left="142"/>
        <w:rPr>
          <w:rFonts w:ascii="Arial" w:hAnsi="Arial" w:cs="Arial"/>
          <w:sz w:val="20"/>
          <w:szCs w:val="20"/>
        </w:rPr>
      </w:pPr>
      <w:r>
        <w:rPr>
          <w:rFonts w:ascii="Arial" w:hAnsi="Arial" w:cs="Arial"/>
          <w:sz w:val="20"/>
          <w:szCs w:val="20"/>
        </w:rPr>
        <w:t>With bank borrowings reduced to £1.0 million (</w:t>
      </w:r>
      <w:r w:rsidRPr="00E2489C">
        <w:rPr>
          <w:rFonts w:ascii="Arial" w:hAnsi="Arial" w:cs="Arial"/>
          <w:i/>
          <w:sz w:val="20"/>
          <w:szCs w:val="20"/>
        </w:rPr>
        <w:t>2013</w:t>
      </w:r>
      <w:r w:rsidR="00C5159F">
        <w:rPr>
          <w:rFonts w:ascii="Arial" w:hAnsi="Arial" w:cs="Arial"/>
          <w:i/>
          <w:sz w:val="20"/>
          <w:szCs w:val="20"/>
        </w:rPr>
        <w:t>:</w:t>
      </w:r>
      <w:r w:rsidRPr="00E2489C">
        <w:rPr>
          <w:rFonts w:ascii="Arial" w:hAnsi="Arial" w:cs="Arial"/>
          <w:i/>
          <w:sz w:val="20"/>
          <w:szCs w:val="20"/>
        </w:rPr>
        <w:t xml:space="preserve"> £2.0 million</w:t>
      </w:r>
      <w:r>
        <w:rPr>
          <w:rFonts w:ascii="Arial" w:hAnsi="Arial" w:cs="Arial"/>
          <w:sz w:val="20"/>
          <w:szCs w:val="20"/>
        </w:rPr>
        <w:t xml:space="preserve">) and cash on hand of £5.7 million, together with significant further borrowing capacity, the </w:t>
      </w:r>
      <w:r w:rsidR="008824D2">
        <w:rPr>
          <w:rFonts w:ascii="Arial" w:hAnsi="Arial" w:cs="Arial"/>
          <w:sz w:val="20"/>
          <w:szCs w:val="20"/>
        </w:rPr>
        <w:t>G</w:t>
      </w:r>
      <w:r>
        <w:rPr>
          <w:rFonts w:ascii="Arial" w:hAnsi="Arial" w:cs="Arial"/>
          <w:sz w:val="20"/>
          <w:szCs w:val="20"/>
        </w:rPr>
        <w:t>roup has significant capacity to exploit opportunities over the medium term.</w:t>
      </w:r>
    </w:p>
    <w:p w:rsidR="000C5327" w:rsidRDefault="000C5327" w:rsidP="00367AFF">
      <w:pPr>
        <w:widowControl w:val="0"/>
        <w:autoSpaceDE w:val="0"/>
        <w:autoSpaceDN w:val="0"/>
        <w:adjustRightInd w:val="0"/>
        <w:spacing w:after="0" w:line="240" w:lineRule="auto"/>
        <w:rPr>
          <w:rFonts w:ascii="Arial" w:hAnsi="Arial" w:cs="Arial"/>
          <w:b/>
          <w:bCs/>
          <w:sz w:val="20"/>
          <w:szCs w:val="20"/>
        </w:rPr>
      </w:pPr>
    </w:p>
    <w:p w:rsidR="000C5327" w:rsidRDefault="000C5327" w:rsidP="00367AFF">
      <w:pPr>
        <w:widowControl w:val="0"/>
        <w:autoSpaceDE w:val="0"/>
        <w:autoSpaceDN w:val="0"/>
        <w:adjustRightInd w:val="0"/>
        <w:spacing w:after="0" w:line="240" w:lineRule="auto"/>
        <w:rPr>
          <w:rFonts w:ascii="Arial" w:hAnsi="Arial" w:cs="Arial"/>
          <w:b/>
          <w:bCs/>
          <w:sz w:val="20"/>
          <w:szCs w:val="20"/>
        </w:rPr>
      </w:pPr>
    </w:p>
    <w:p w:rsidR="00367AFF" w:rsidRPr="00CE35B0" w:rsidRDefault="00367AFF" w:rsidP="00367AFF">
      <w:pPr>
        <w:widowControl w:val="0"/>
        <w:autoSpaceDE w:val="0"/>
        <w:autoSpaceDN w:val="0"/>
        <w:adjustRightInd w:val="0"/>
        <w:spacing w:after="0" w:line="240" w:lineRule="auto"/>
        <w:rPr>
          <w:rFonts w:ascii="Arial" w:hAnsi="Arial" w:cs="Arial"/>
          <w:sz w:val="20"/>
          <w:szCs w:val="20"/>
        </w:rPr>
      </w:pPr>
      <w:r w:rsidRPr="00CE35B0">
        <w:rPr>
          <w:rFonts w:ascii="Arial" w:hAnsi="Arial" w:cs="Arial"/>
          <w:b/>
          <w:bCs/>
          <w:sz w:val="20"/>
          <w:szCs w:val="20"/>
        </w:rPr>
        <w:t>Financial Review</w:t>
      </w:r>
    </w:p>
    <w:p w:rsidR="00367AFF" w:rsidRPr="00CE35B0" w:rsidRDefault="00367AFF" w:rsidP="00367AFF">
      <w:pPr>
        <w:widowControl w:val="0"/>
        <w:autoSpaceDE w:val="0"/>
        <w:autoSpaceDN w:val="0"/>
        <w:adjustRightInd w:val="0"/>
        <w:spacing w:after="0" w:line="240" w:lineRule="auto"/>
        <w:rPr>
          <w:rFonts w:ascii="Arial" w:hAnsi="Arial" w:cs="Arial"/>
          <w:sz w:val="20"/>
          <w:szCs w:val="20"/>
        </w:rPr>
      </w:pPr>
    </w:p>
    <w:p w:rsidR="00367AFF" w:rsidRPr="00CE35B0" w:rsidRDefault="00367AFF" w:rsidP="00367AFF">
      <w:pPr>
        <w:widowControl w:val="0"/>
        <w:tabs>
          <w:tab w:val="left" w:pos="5240"/>
        </w:tabs>
        <w:autoSpaceDE w:val="0"/>
        <w:autoSpaceDN w:val="0"/>
        <w:adjustRightInd w:val="0"/>
        <w:spacing w:after="0" w:line="240" w:lineRule="auto"/>
        <w:rPr>
          <w:rFonts w:ascii="Arial" w:hAnsi="Arial" w:cs="Arial"/>
          <w:sz w:val="20"/>
          <w:szCs w:val="20"/>
        </w:rPr>
      </w:pPr>
      <w:r w:rsidRPr="00CE35B0">
        <w:rPr>
          <w:rFonts w:ascii="Arial" w:hAnsi="Arial" w:cs="Arial"/>
          <w:b/>
          <w:bCs/>
          <w:sz w:val="20"/>
          <w:szCs w:val="20"/>
        </w:rPr>
        <w:t>Summary income statement</w:t>
      </w:r>
    </w:p>
    <w:p w:rsidR="00367AFF" w:rsidRPr="00716B7C" w:rsidRDefault="00367AFF" w:rsidP="00367AFF">
      <w:pPr>
        <w:widowControl w:val="0"/>
        <w:autoSpaceDE w:val="0"/>
        <w:autoSpaceDN w:val="0"/>
        <w:adjustRightInd w:val="0"/>
        <w:spacing w:after="0" w:line="394" w:lineRule="exact"/>
        <w:rPr>
          <w:rFonts w:ascii="Arial" w:hAnsi="Arial" w:cs="Arial"/>
          <w:sz w:val="24"/>
          <w:szCs w:val="24"/>
        </w:rPr>
      </w:pPr>
    </w:p>
    <w:tbl>
      <w:tblPr>
        <w:tblW w:w="9136" w:type="dxa"/>
        <w:tblInd w:w="220" w:type="dxa"/>
        <w:tblLayout w:type="fixed"/>
        <w:tblCellMar>
          <w:left w:w="0" w:type="dxa"/>
          <w:right w:w="0" w:type="dxa"/>
        </w:tblCellMar>
        <w:tblLook w:val="0000" w:firstRow="0" w:lastRow="0" w:firstColumn="0" w:lastColumn="0" w:noHBand="0" w:noVBand="0"/>
      </w:tblPr>
      <w:tblGrid>
        <w:gridCol w:w="6"/>
        <w:gridCol w:w="5394"/>
        <w:gridCol w:w="1231"/>
        <w:gridCol w:w="1231"/>
        <w:gridCol w:w="1274"/>
      </w:tblGrid>
      <w:tr w:rsidR="00367AFF" w:rsidRPr="009306D1" w:rsidTr="00367AFF">
        <w:trPr>
          <w:gridBefore w:val="1"/>
          <w:wBefore w:w="6" w:type="dxa"/>
          <w:trHeight w:val="460"/>
        </w:trPr>
        <w:tc>
          <w:tcPr>
            <w:tcW w:w="5394"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Year ended 31 March</w:t>
            </w:r>
          </w:p>
        </w:tc>
        <w:tc>
          <w:tcPr>
            <w:tcW w:w="1231" w:type="dxa"/>
            <w:tcBorders>
              <w:top w:val="nil"/>
              <w:left w:val="nil"/>
              <w:bottom w:val="nil"/>
              <w:right w:val="nil"/>
            </w:tcBorders>
            <w:vAlign w:val="bottom"/>
          </w:tcPr>
          <w:p w:rsidR="00367AFF"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2014</w:t>
            </w:r>
          </w:p>
        </w:tc>
        <w:tc>
          <w:tcPr>
            <w:tcW w:w="1231"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2013</w:t>
            </w:r>
          </w:p>
        </w:tc>
        <w:tc>
          <w:tcPr>
            <w:tcW w:w="1274"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sidRPr="009306D1">
              <w:rPr>
                <w:rFonts w:ascii="Arial" w:hAnsi="Arial" w:cs="Arial"/>
                <w:i/>
                <w:iCs/>
                <w:sz w:val="20"/>
                <w:szCs w:val="20"/>
              </w:rPr>
              <w:t>Change</w:t>
            </w:r>
          </w:p>
        </w:tc>
      </w:tr>
      <w:tr w:rsidR="00367AFF" w:rsidRPr="009306D1" w:rsidTr="00367AFF">
        <w:trPr>
          <w:gridBefore w:val="1"/>
          <w:wBefore w:w="6" w:type="dxa"/>
          <w:trHeight w:val="180"/>
        </w:trPr>
        <w:tc>
          <w:tcPr>
            <w:tcW w:w="5394"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31"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sidRPr="009306D1">
              <w:rPr>
                <w:rFonts w:ascii="Arial" w:hAnsi="Arial" w:cs="Arial"/>
                <w:sz w:val="20"/>
                <w:szCs w:val="20"/>
              </w:rPr>
              <w:t>£m</w:t>
            </w:r>
          </w:p>
        </w:tc>
        <w:tc>
          <w:tcPr>
            <w:tcW w:w="1231"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sidRPr="009306D1">
              <w:rPr>
                <w:rFonts w:ascii="Arial" w:hAnsi="Arial" w:cs="Arial"/>
                <w:sz w:val="20"/>
                <w:szCs w:val="20"/>
              </w:rPr>
              <w:t>£m</w:t>
            </w:r>
          </w:p>
        </w:tc>
        <w:tc>
          <w:tcPr>
            <w:tcW w:w="1274"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sidRPr="009306D1">
              <w:rPr>
                <w:rFonts w:ascii="Arial" w:hAnsi="Arial" w:cs="Arial"/>
                <w:i/>
                <w:iCs/>
                <w:sz w:val="20"/>
                <w:szCs w:val="20"/>
              </w:rPr>
              <w:t>%</w:t>
            </w:r>
          </w:p>
        </w:tc>
      </w:tr>
      <w:tr w:rsidR="00367AFF" w:rsidRPr="009306D1" w:rsidTr="00367AFF">
        <w:trPr>
          <w:gridBefore w:val="1"/>
          <w:wBefore w:w="6" w:type="dxa"/>
          <w:trHeight w:val="405"/>
        </w:trPr>
        <w:tc>
          <w:tcPr>
            <w:tcW w:w="5394"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Group revenue</w:t>
            </w:r>
          </w:p>
        </w:tc>
        <w:tc>
          <w:tcPr>
            <w:tcW w:w="1231" w:type="dxa"/>
            <w:tcBorders>
              <w:top w:val="nil"/>
              <w:left w:val="nil"/>
              <w:right w:val="nil"/>
            </w:tcBorders>
            <w:vAlign w:val="bottom"/>
          </w:tcPr>
          <w:p w:rsidR="00367AFF"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38.26</w:t>
            </w:r>
          </w:p>
        </w:tc>
        <w:tc>
          <w:tcPr>
            <w:tcW w:w="1231"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35.60</w:t>
            </w:r>
          </w:p>
        </w:tc>
        <w:tc>
          <w:tcPr>
            <w:tcW w:w="1274"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i/>
                <w:iCs/>
                <w:sz w:val="20"/>
                <w:szCs w:val="20"/>
              </w:rPr>
              <w:t>7.5</w:t>
            </w:r>
          </w:p>
        </w:tc>
      </w:tr>
      <w:tr w:rsidR="00367AFF" w:rsidRPr="009306D1" w:rsidTr="00367AFF">
        <w:trPr>
          <w:gridBefore w:val="1"/>
          <w:wBefore w:w="6" w:type="dxa"/>
          <w:trHeight w:val="31"/>
        </w:trPr>
        <w:tc>
          <w:tcPr>
            <w:tcW w:w="539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31"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31"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7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9306D1" w:rsidTr="00367AFF">
        <w:trPr>
          <w:trHeight w:val="261"/>
        </w:trPr>
        <w:tc>
          <w:tcPr>
            <w:tcW w:w="5400" w:type="dxa"/>
            <w:gridSpan w:val="2"/>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 xml:space="preserve">Underlying </w:t>
            </w:r>
            <w:r w:rsidRPr="009306D1">
              <w:rPr>
                <w:rFonts w:ascii="Arial" w:hAnsi="Arial" w:cs="Arial"/>
                <w:sz w:val="20"/>
                <w:szCs w:val="20"/>
              </w:rPr>
              <w:t>Operating profit</w:t>
            </w:r>
            <w:r>
              <w:rPr>
                <w:rFonts w:ascii="Arial" w:hAnsi="Arial" w:cs="Arial"/>
                <w:sz w:val="20"/>
                <w:szCs w:val="20"/>
              </w:rPr>
              <w:t>*</w:t>
            </w:r>
          </w:p>
        </w:tc>
        <w:tc>
          <w:tcPr>
            <w:tcW w:w="1231" w:type="dxa"/>
            <w:tcBorders>
              <w:top w:val="single" w:sz="4" w:space="0" w:color="auto"/>
              <w:left w:val="nil"/>
              <w:bottom w:val="nil"/>
              <w:right w:val="nil"/>
            </w:tcBorders>
            <w:vAlign w:val="bottom"/>
          </w:tcPr>
          <w:p w:rsidR="00367AFF"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3.85</w:t>
            </w:r>
          </w:p>
        </w:tc>
        <w:tc>
          <w:tcPr>
            <w:tcW w:w="1231" w:type="dxa"/>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3.50</w:t>
            </w:r>
          </w:p>
        </w:tc>
        <w:tc>
          <w:tcPr>
            <w:tcW w:w="1274" w:type="dxa"/>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i/>
                <w:iCs/>
                <w:sz w:val="20"/>
                <w:szCs w:val="20"/>
              </w:rPr>
              <w:t>10.0</w:t>
            </w:r>
          </w:p>
        </w:tc>
      </w:tr>
      <w:tr w:rsidR="00367AFF" w:rsidRPr="009306D1" w:rsidTr="00367AFF">
        <w:trPr>
          <w:gridBefore w:val="1"/>
          <w:wBefore w:w="6" w:type="dxa"/>
          <w:trHeight w:val="312"/>
        </w:trPr>
        <w:tc>
          <w:tcPr>
            <w:tcW w:w="5394"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Net financing costs</w:t>
            </w:r>
          </w:p>
        </w:tc>
        <w:tc>
          <w:tcPr>
            <w:tcW w:w="1231" w:type="dxa"/>
            <w:tcBorders>
              <w:top w:val="nil"/>
              <w:left w:val="nil"/>
              <w:bottom w:val="nil"/>
              <w:right w:val="nil"/>
            </w:tcBorders>
            <w:vAlign w:val="bottom"/>
          </w:tcPr>
          <w:p w:rsidR="00367AFF"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sz w:val="20"/>
                <w:szCs w:val="20"/>
              </w:rPr>
              <w:t>(0.20</w:t>
            </w:r>
            <w:r w:rsidRPr="009306D1">
              <w:rPr>
                <w:rFonts w:ascii="Arial" w:hAnsi="Arial" w:cs="Arial"/>
                <w:sz w:val="20"/>
                <w:szCs w:val="20"/>
              </w:rPr>
              <w:t>)</w:t>
            </w:r>
          </w:p>
        </w:tc>
        <w:tc>
          <w:tcPr>
            <w:tcW w:w="1231"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sz w:val="20"/>
                <w:szCs w:val="20"/>
              </w:rPr>
              <w:t>(0.21</w:t>
            </w:r>
            <w:r w:rsidRPr="009306D1">
              <w:rPr>
                <w:rFonts w:ascii="Arial" w:hAnsi="Arial" w:cs="Arial"/>
                <w:sz w:val="20"/>
                <w:szCs w:val="20"/>
              </w:rPr>
              <w:t>)</w:t>
            </w:r>
          </w:p>
        </w:tc>
        <w:tc>
          <w:tcPr>
            <w:tcW w:w="1274"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i/>
                <w:iCs/>
                <w:sz w:val="20"/>
                <w:szCs w:val="20"/>
              </w:rPr>
              <w:t>(2.8)</w:t>
            </w:r>
          </w:p>
        </w:tc>
      </w:tr>
      <w:tr w:rsidR="00367AFF" w:rsidRPr="009306D1" w:rsidTr="00367AFF">
        <w:trPr>
          <w:gridBefore w:val="1"/>
          <w:wBefore w:w="6" w:type="dxa"/>
          <w:trHeight w:val="310"/>
        </w:trPr>
        <w:tc>
          <w:tcPr>
            <w:tcW w:w="5394"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p>
        </w:tc>
        <w:tc>
          <w:tcPr>
            <w:tcW w:w="1231"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31"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74"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9306D1" w:rsidTr="00367AFF">
        <w:trPr>
          <w:gridBefore w:val="1"/>
          <w:wBefore w:w="6" w:type="dxa"/>
          <w:trHeight w:val="200"/>
        </w:trPr>
        <w:tc>
          <w:tcPr>
            <w:tcW w:w="5394"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Underlying profit</w:t>
            </w:r>
            <w:r>
              <w:rPr>
                <w:rFonts w:ascii="Arial" w:hAnsi="Arial" w:cs="Arial"/>
                <w:sz w:val="20"/>
                <w:szCs w:val="20"/>
              </w:rPr>
              <w:t xml:space="preserve"> before tax</w:t>
            </w:r>
          </w:p>
        </w:tc>
        <w:tc>
          <w:tcPr>
            <w:tcW w:w="1231" w:type="dxa"/>
            <w:tcBorders>
              <w:top w:val="nil"/>
              <w:left w:val="nil"/>
              <w:right w:val="nil"/>
            </w:tcBorders>
            <w:vAlign w:val="bottom"/>
          </w:tcPr>
          <w:p w:rsidR="00367AFF"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3.65</w:t>
            </w:r>
          </w:p>
        </w:tc>
        <w:tc>
          <w:tcPr>
            <w:tcW w:w="1231"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3.29</w:t>
            </w:r>
          </w:p>
        </w:tc>
        <w:tc>
          <w:tcPr>
            <w:tcW w:w="1274"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i/>
                <w:iCs/>
                <w:sz w:val="20"/>
                <w:szCs w:val="20"/>
              </w:rPr>
              <w:t>10.8</w:t>
            </w:r>
          </w:p>
        </w:tc>
      </w:tr>
      <w:tr w:rsidR="00367AFF" w:rsidRPr="009306D1" w:rsidTr="00367AFF">
        <w:trPr>
          <w:gridBefore w:val="1"/>
          <w:wBefore w:w="6" w:type="dxa"/>
          <w:trHeight w:val="31"/>
        </w:trPr>
        <w:tc>
          <w:tcPr>
            <w:tcW w:w="539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31"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31"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7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9306D1" w:rsidTr="00367AFF">
        <w:trPr>
          <w:gridBefore w:val="1"/>
          <w:wBefore w:w="6" w:type="dxa"/>
          <w:trHeight w:val="259"/>
        </w:trPr>
        <w:tc>
          <w:tcPr>
            <w:tcW w:w="5394" w:type="dxa"/>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Less:</w:t>
            </w:r>
          </w:p>
        </w:tc>
        <w:tc>
          <w:tcPr>
            <w:tcW w:w="1231" w:type="dxa"/>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31" w:type="dxa"/>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74" w:type="dxa"/>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9306D1" w:rsidTr="00367AFF">
        <w:trPr>
          <w:gridBefore w:val="1"/>
          <w:wBefore w:w="6" w:type="dxa"/>
          <w:trHeight w:val="200"/>
        </w:trPr>
        <w:tc>
          <w:tcPr>
            <w:tcW w:w="5394"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Fund raising costs</w:t>
            </w:r>
          </w:p>
        </w:tc>
        <w:tc>
          <w:tcPr>
            <w:tcW w:w="1231" w:type="dxa"/>
            <w:tcBorders>
              <w:top w:val="nil"/>
              <w:left w:val="nil"/>
              <w:right w:val="nil"/>
            </w:tcBorders>
            <w:vAlign w:val="bottom"/>
          </w:tcPr>
          <w:p w:rsidR="00367AFF"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sz w:val="20"/>
                <w:szCs w:val="20"/>
              </w:rPr>
              <w:t>-</w:t>
            </w:r>
          </w:p>
        </w:tc>
        <w:tc>
          <w:tcPr>
            <w:tcW w:w="1231"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sz w:val="20"/>
                <w:szCs w:val="20"/>
              </w:rPr>
              <w:t>(0.68)</w:t>
            </w:r>
          </w:p>
        </w:tc>
        <w:tc>
          <w:tcPr>
            <w:tcW w:w="1274"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sidRPr="009306D1">
              <w:rPr>
                <w:rFonts w:ascii="Arial" w:hAnsi="Arial" w:cs="Arial"/>
                <w:i/>
                <w:iCs/>
                <w:sz w:val="20"/>
                <w:szCs w:val="20"/>
              </w:rPr>
              <w:t>–</w:t>
            </w:r>
          </w:p>
        </w:tc>
      </w:tr>
      <w:tr w:rsidR="00367AFF" w:rsidRPr="009306D1" w:rsidTr="00367AFF">
        <w:trPr>
          <w:gridBefore w:val="1"/>
          <w:wBefore w:w="6" w:type="dxa"/>
          <w:trHeight w:val="200"/>
        </w:trPr>
        <w:tc>
          <w:tcPr>
            <w:tcW w:w="5394"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Gain on sale of FOGL shares</w:t>
            </w:r>
          </w:p>
        </w:tc>
        <w:tc>
          <w:tcPr>
            <w:tcW w:w="1231" w:type="dxa"/>
            <w:tcBorders>
              <w:top w:val="nil"/>
              <w:left w:val="nil"/>
              <w:right w:val="nil"/>
            </w:tcBorders>
            <w:vAlign w:val="bottom"/>
          </w:tcPr>
          <w:p w:rsidR="00367AFF"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sz w:val="20"/>
                <w:szCs w:val="20"/>
              </w:rPr>
              <w:t>-</w:t>
            </w:r>
          </w:p>
        </w:tc>
        <w:tc>
          <w:tcPr>
            <w:tcW w:w="1231"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sz w:val="20"/>
                <w:szCs w:val="20"/>
              </w:rPr>
              <w:t>0.77</w:t>
            </w:r>
          </w:p>
        </w:tc>
        <w:tc>
          <w:tcPr>
            <w:tcW w:w="1274"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sidRPr="009306D1">
              <w:rPr>
                <w:rFonts w:ascii="Arial" w:hAnsi="Arial" w:cs="Arial"/>
                <w:i/>
                <w:iCs/>
                <w:sz w:val="20"/>
                <w:szCs w:val="20"/>
              </w:rPr>
              <w:t>–</w:t>
            </w:r>
          </w:p>
        </w:tc>
      </w:tr>
      <w:tr w:rsidR="00367AFF" w:rsidRPr="009306D1" w:rsidTr="00367AFF">
        <w:trPr>
          <w:gridBefore w:val="1"/>
          <w:wBefore w:w="6" w:type="dxa"/>
          <w:trHeight w:val="200"/>
        </w:trPr>
        <w:tc>
          <w:tcPr>
            <w:tcW w:w="5394" w:type="dxa"/>
            <w:tcBorders>
              <w:top w:val="nil"/>
              <w:left w:val="nil"/>
              <w:right w:val="nil"/>
            </w:tcBorders>
            <w:vAlign w:val="bottom"/>
          </w:tcPr>
          <w:p w:rsidR="00367AFF" w:rsidRPr="009306D1" w:rsidRDefault="00797C10" w:rsidP="00367AFF">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G</w:t>
            </w:r>
            <w:r w:rsidR="00367AFF">
              <w:rPr>
                <w:rFonts w:ascii="Arial" w:hAnsi="Arial" w:cs="Arial"/>
                <w:sz w:val="20"/>
                <w:szCs w:val="20"/>
              </w:rPr>
              <w:t>ain / (loss) on disposal of the PHFC pension scheme</w:t>
            </w:r>
          </w:p>
        </w:tc>
        <w:tc>
          <w:tcPr>
            <w:tcW w:w="1231" w:type="dxa"/>
            <w:tcBorders>
              <w:top w:val="nil"/>
              <w:left w:val="nil"/>
              <w:right w:val="nil"/>
            </w:tcBorders>
            <w:vAlign w:val="bottom"/>
          </w:tcPr>
          <w:p w:rsidR="00367AFF"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sz w:val="20"/>
                <w:szCs w:val="20"/>
              </w:rPr>
              <w:t>0.06</w:t>
            </w:r>
          </w:p>
        </w:tc>
        <w:tc>
          <w:tcPr>
            <w:tcW w:w="1231"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sz w:val="20"/>
                <w:szCs w:val="20"/>
              </w:rPr>
              <w:t>(0.18</w:t>
            </w:r>
            <w:r w:rsidRPr="009306D1">
              <w:rPr>
                <w:rFonts w:ascii="Arial" w:hAnsi="Arial" w:cs="Arial"/>
                <w:sz w:val="20"/>
                <w:szCs w:val="20"/>
              </w:rPr>
              <w:t>)</w:t>
            </w:r>
          </w:p>
        </w:tc>
        <w:tc>
          <w:tcPr>
            <w:tcW w:w="1274"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i/>
                <w:iCs/>
                <w:sz w:val="20"/>
                <w:szCs w:val="20"/>
              </w:rPr>
              <w:t>(135.2)</w:t>
            </w:r>
          </w:p>
        </w:tc>
      </w:tr>
      <w:tr w:rsidR="00367AFF" w:rsidRPr="009306D1" w:rsidTr="00367AFF">
        <w:trPr>
          <w:gridBefore w:val="1"/>
          <w:wBefore w:w="6" w:type="dxa"/>
          <w:trHeight w:val="200"/>
        </w:trPr>
        <w:tc>
          <w:tcPr>
            <w:tcW w:w="5394"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Amortisation of intangibles</w:t>
            </w:r>
          </w:p>
        </w:tc>
        <w:tc>
          <w:tcPr>
            <w:tcW w:w="1231"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sz w:val="20"/>
                <w:szCs w:val="20"/>
              </w:rPr>
              <w:t>(0.31</w:t>
            </w:r>
            <w:r w:rsidRPr="009306D1">
              <w:rPr>
                <w:rFonts w:ascii="Arial" w:hAnsi="Arial" w:cs="Arial"/>
                <w:sz w:val="20"/>
                <w:szCs w:val="20"/>
              </w:rPr>
              <w:t>)</w:t>
            </w:r>
          </w:p>
        </w:tc>
        <w:tc>
          <w:tcPr>
            <w:tcW w:w="1231"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sidRPr="009306D1">
              <w:rPr>
                <w:rFonts w:ascii="Arial" w:hAnsi="Arial" w:cs="Arial"/>
                <w:sz w:val="20"/>
                <w:szCs w:val="20"/>
              </w:rPr>
              <w:t>(0.40)</w:t>
            </w:r>
          </w:p>
        </w:tc>
        <w:tc>
          <w:tcPr>
            <w:tcW w:w="1274"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i/>
                <w:iCs/>
                <w:sz w:val="20"/>
                <w:szCs w:val="20"/>
              </w:rPr>
              <w:t>(22.9)</w:t>
            </w:r>
          </w:p>
        </w:tc>
      </w:tr>
      <w:tr w:rsidR="00367AFF" w:rsidRPr="009306D1" w:rsidTr="00367AFF">
        <w:trPr>
          <w:gridBefore w:val="1"/>
          <w:wBefore w:w="6" w:type="dxa"/>
          <w:trHeight w:val="31"/>
        </w:trPr>
        <w:tc>
          <w:tcPr>
            <w:tcW w:w="539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31"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31"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7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9306D1" w:rsidTr="00367AFF">
        <w:trPr>
          <w:gridBefore w:val="1"/>
          <w:wBefore w:w="6" w:type="dxa"/>
          <w:trHeight w:val="259"/>
        </w:trPr>
        <w:tc>
          <w:tcPr>
            <w:tcW w:w="5394" w:type="dxa"/>
            <w:tcBorders>
              <w:top w:val="single" w:sz="4" w:space="0" w:color="auto"/>
              <w:left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p>
        </w:tc>
        <w:tc>
          <w:tcPr>
            <w:tcW w:w="1231" w:type="dxa"/>
            <w:tcBorders>
              <w:top w:val="single" w:sz="4" w:space="0" w:color="auto"/>
              <w:left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31" w:type="dxa"/>
            <w:tcBorders>
              <w:top w:val="single" w:sz="4" w:space="0" w:color="auto"/>
              <w:left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74" w:type="dxa"/>
            <w:tcBorders>
              <w:top w:val="single" w:sz="4" w:space="0" w:color="auto"/>
              <w:left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9306D1" w:rsidTr="00367AFF">
        <w:trPr>
          <w:gridBefore w:val="1"/>
          <w:wBefore w:w="6" w:type="dxa"/>
          <w:trHeight w:val="231"/>
        </w:trPr>
        <w:tc>
          <w:tcPr>
            <w:tcW w:w="539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 xml:space="preserve">Profit before tax as </w:t>
            </w:r>
            <w:r>
              <w:rPr>
                <w:rFonts w:ascii="Arial" w:hAnsi="Arial" w:cs="Arial"/>
                <w:sz w:val="20"/>
                <w:szCs w:val="20"/>
              </w:rPr>
              <w:t>r</w:t>
            </w:r>
            <w:r w:rsidRPr="009306D1">
              <w:rPr>
                <w:rFonts w:ascii="Arial" w:hAnsi="Arial" w:cs="Arial"/>
                <w:sz w:val="20"/>
                <w:szCs w:val="20"/>
              </w:rPr>
              <w:t>eported</w:t>
            </w:r>
          </w:p>
        </w:tc>
        <w:tc>
          <w:tcPr>
            <w:tcW w:w="1231"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3</w:t>
            </w:r>
            <w:r w:rsidRPr="009306D1">
              <w:rPr>
                <w:rFonts w:ascii="Arial" w:hAnsi="Arial" w:cs="Arial"/>
                <w:sz w:val="20"/>
                <w:szCs w:val="20"/>
              </w:rPr>
              <w:t>.</w:t>
            </w:r>
            <w:r>
              <w:rPr>
                <w:rFonts w:ascii="Arial" w:hAnsi="Arial" w:cs="Arial"/>
                <w:sz w:val="20"/>
                <w:szCs w:val="20"/>
              </w:rPr>
              <w:t>40</w:t>
            </w:r>
          </w:p>
        </w:tc>
        <w:tc>
          <w:tcPr>
            <w:tcW w:w="1231"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sidRPr="009306D1">
              <w:rPr>
                <w:rFonts w:ascii="Arial" w:hAnsi="Arial" w:cs="Arial"/>
                <w:sz w:val="20"/>
                <w:szCs w:val="20"/>
              </w:rPr>
              <w:t>2.</w:t>
            </w:r>
            <w:r>
              <w:rPr>
                <w:rFonts w:ascii="Arial" w:hAnsi="Arial" w:cs="Arial"/>
                <w:sz w:val="20"/>
                <w:szCs w:val="20"/>
              </w:rPr>
              <w:t>80</w:t>
            </w:r>
          </w:p>
        </w:tc>
        <w:tc>
          <w:tcPr>
            <w:tcW w:w="127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i/>
                <w:iCs/>
                <w:sz w:val="20"/>
                <w:szCs w:val="20"/>
              </w:rPr>
              <w:t>21.7</w:t>
            </w:r>
          </w:p>
        </w:tc>
      </w:tr>
    </w:tbl>
    <w:p w:rsidR="00367AFF" w:rsidRPr="00716B7C" w:rsidRDefault="00367AFF" w:rsidP="00367AFF">
      <w:pPr>
        <w:widowControl w:val="0"/>
        <w:autoSpaceDE w:val="0"/>
        <w:autoSpaceDN w:val="0"/>
        <w:adjustRightInd w:val="0"/>
        <w:spacing w:after="0" w:line="200" w:lineRule="exact"/>
        <w:rPr>
          <w:rFonts w:ascii="Arial" w:hAnsi="Arial" w:cs="Arial"/>
          <w:sz w:val="24"/>
          <w:szCs w:val="24"/>
        </w:rPr>
      </w:pPr>
    </w:p>
    <w:p w:rsidR="00367AFF" w:rsidRPr="00115A83" w:rsidRDefault="00367AFF" w:rsidP="00367AF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115A83">
        <w:rPr>
          <w:rFonts w:ascii="Arial" w:hAnsi="Arial" w:cs="Arial"/>
          <w:sz w:val="20"/>
          <w:szCs w:val="20"/>
        </w:rPr>
        <w:t xml:space="preserve">Underlying operating profit excludes amortisation and non-trading items </w:t>
      </w:r>
      <w:r>
        <w:rPr>
          <w:rFonts w:ascii="Arial" w:hAnsi="Arial" w:cs="Arial"/>
          <w:sz w:val="20"/>
          <w:szCs w:val="20"/>
        </w:rPr>
        <w:t xml:space="preserve">but includes £0.04 million of the Group’s share of the results of the </w:t>
      </w:r>
      <w:proofErr w:type="spellStart"/>
      <w:r>
        <w:rPr>
          <w:rFonts w:ascii="Arial" w:hAnsi="Arial" w:cs="Arial"/>
          <w:sz w:val="20"/>
          <w:szCs w:val="20"/>
        </w:rPr>
        <w:t>SAtCO</w:t>
      </w:r>
      <w:proofErr w:type="spellEnd"/>
      <w:r>
        <w:rPr>
          <w:rFonts w:ascii="Arial" w:hAnsi="Arial" w:cs="Arial"/>
          <w:sz w:val="20"/>
          <w:szCs w:val="20"/>
        </w:rPr>
        <w:t xml:space="preserve"> joint venture.</w:t>
      </w:r>
    </w:p>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p w:rsidR="00367AFF" w:rsidRPr="009306D1" w:rsidRDefault="00367AFF" w:rsidP="00367AFF">
      <w:pPr>
        <w:widowControl w:val="0"/>
        <w:autoSpaceDE w:val="0"/>
        <w:autoSpaceDN w:val="0"/>
        <w:adjustRightInd w:val="0"/>
        <w:spacing w:after="0" w:line="240" w:lineRule="auto"/>
        <w:rPr>
          <w:rFonts w:ascii="Arial" w:hAnsi="Arial" w:cs="Arial"/>
          <w:sz w:val="20"/>
          <w:szCs w:val="20"/>
        </w:rPr>
      </w:pPr>
      <w:r w:rsidRPr="009306D1">
        <w:rPr>
          <w:rFonts w:ascii="Arial" w:hAnsi="Arial" w:cs="Arial"/>
          <w:b/>
          <w:bCs/>
          <w:sz w:val="20"/>
          <w:szCs w:val="20"/>
        </w:rPr>
        <w:t>Revenue and</w:t>
      </w:r>
      <w:r>
        <w:rPr>
          <w:rFonts w:ascii="Arial" w:hAnsi="Arial" w:cs="Arial"/>
          <w:b/>
          <w:bCs/>
          <w:sz w:val="20"/>
          <w:szCs w:val="20"/>
        </w:rPr>
        <w:t xml:space="preserve"> underlying</w:t>
      </w:r>
      <w:r w:rsidRPr="009306D1">
        <w:rPr>
          <w:rFonts w:ascii="Arial" w:hAnsi="Arial" w:cs="Arial"/>
          <w:b/>
          <w:bCs/>
          <w:sz w:val="20"/>
          <w:szCs w:val="20"/>
        </w:rPr>
        <w:t xml:space="preserve"> operating profit</w:t>
      </w:r>
    </w:p>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p w:rsidR="00367AFF" w:rsidRPr="009306D1"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9306D1">
        <w:rPr>
          <w:rFonts w:ascii="Arial" w:hAnsi="Arial" w:cs="Arial"/>
          <w:sz w:val="20"/>
          <w:szCs w:val="20"/>
        </w:rPr>
        <w:t xml:space="preserve">Group revenue </w:t>
      </w:r>
      <w:r>
        <w:rPr>
          <w:rFonts w:ascii="Arial" w:hAnsi="Arial" w:cs="Arial"/>
          <w:sz w:val="20"/>
          <w:szCs w:val="20"/>
        </w:rPr>
        <w:t>rose 7.5% to £38.26</w:t>
      </w:r>
      <w:r w:rsidRPr="009306D1">
        <w:rPr>
          <w:rFonts w:ascii="Arial" w:hAnsi="Arial" w:cs="Arial"/>
          <w:sz w:val="20"/>
          <w:szCs w:val="20"/>
        </w:rPr>
        <w:t xml:space="preserve"> million and</w:t>
      </w:r>
      <w:r>
        <w:rPr>
          <w:rFonts w:ascii="Arial" w:hAnsi="Arial" w:cs="Arial"/>
          <w:sz w:val="20"/>
          <w:szCs w:val="20"/>
        </w:rPr>
        <w:t xml:space="preserve"> Group </w:t>
      </w:r>
      <w:r w:rsidRPr="009306D1">
        <w:rPr>
          <w:rFonts w:ascii="Arial" w:hAnsi="Arial" w:cs="Arial"/>
          <w:sz w:val="20"/>
          <w:szCs w:val="20"/>
        </w:rPr>
        <w:t xml:space="preserve">and </w:t>
      </w:r>
      <w:r w:rsidRPr="00BF5598">
        <w:rPr>
          <w:rFonts w:ascii="Arial" w:hAnsi="Arial" w:cs="Arial"/>
          <w:bCs/>
          <w:sz w:val="20"/>
          <w:szCs w:val="20"/>
        </w:rPr>
        <w:t>underlying</w:t>
      </w:r>
      <w:r w:rsidRPr="009306D1">
        <w:rPr>
          <w:rFonts w:ascii="Arial" w:hAnsi="Arial" w:cs="Arial"/>
          <w:sz w:val="20"/>
          <w:szCs w:val="20"/>
        </w:rPr>
        <w:t xml:space="preserve"> </w:t>
      </w:r>
      <w:r>
        <w:rPr>
          <w:rFonts w:ascii="Arial" w:hAnsi="Arial" w:cs="Arial"/>
          <w:sz w:val="20"/>
          <w:szCs w:val="20"/>
        </w:rPr>
        <w:t xml:space="preserve">operating profit increased 10.0% to £3.85 </w:t>
      </w:r>
      <w:r w:rsidRPr="009306D1">
        <w:rPr>
          <w:rFonts w:ascii="Arial" w:hAnsi="Arial" w:cs="Arial"/>
          <w:sz w:val="20"/>
          <w:szCs w:val="20"/>
        </w:rPr>
        <w:t>million</w:t>
      </w:r>
      <w:r>
        <w:rPr>
          <w:rFonts w:ascii="Arial" w:hAnsi="Arial" w:cs="Arial"/>
          <w:sz w:val="20"/>
          <w:szCs w:val="20"/>
        </w:rPr>
        <w:t xml:space="preserve"> in the year ended 31 March 2014</w:t>
      </w:r>
      <w:r w:rsidRPr="009306D1">
        <w:rPr>
          <w:rFonts w:ascii="Arial" w:hAnsi="Arial" w:cs="Arial"/>
          <w:sz w:val="20"/>
          <w:szCs w:val="20"/>
        </w:rPr>
        <w:t>. These are discussed in more detail above in the Review of Operations.</w:t>
      </w:r>
    </w:p>
    <w:p w:rsidR="00367AFF" w:rsidRDefault="00367AFF" w:rsidP="00367AFF">
      <w:pPr>
        <w:widowControl w:val="0"/>
        <w:autoSpaceDE w:val="0"/>
        <w:autoSpaceDN w:val="0"/>
        <w:adjustRightInd w:val="0"/>
        <w:spacing w:after="0" w:line="240" w:lineRule="auto"/>
        <w:rPr>
          <w:rFonts w:ascii="Arial" w:hAnsi="Arial" w:cs="Arial"/>
          <w:sz w:val="20"/>
          <w:szCs w:val="20"/>
        </w:rPr>
      </w:pPr>
    </w:p>
    <w:p w:rsidR="00367AFF" w:rsidRDefault="00367AFF" w:rsidP="00367AFF">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Non-trading items</w:t>
      </w:r>
    </w:p>
    <w:p w:rsidR="004A4E98" w:rsidRPr="009306D1" w:rsidRDefault="004A4E98" w:rsidP="00367AFF">
      <w:pPr>
        <w:widowControl w:val="0"/>
        <w:autoSpaceDE w:val="0"/>
        <w:autoSpaceDN w:val="0"/>
        <w:adjustRightInd w:val="0"/>
        <w:spacing w:after="0" w:line="240" w:lineRule="auto"/>
        <w:rPr>
          <w:rFonts w:ascii="Arial" w:hAnsi="Arial" w:cs="Arial"/>
          <w:sz w:val="20"/>
          <w:szCs w:val="20"/>
        </w:rPr>
      </w:pPr>
    </w:p>
    <w:p w:rsidR="00367AFF" w:rsidRPr="009306D1" w:rsidRDefault="00367AFF" w:rsidP="003838DC">
      <w:pPr>
        <w:ind w:right="22"/>
        <w:jc w:val="both"/>
        <w:rPr>
          <w:rFonts w:ascii="Arial" w:hAnsi="Arial" w:cs="Arial"/>
          <w:sz w:val="20"/>
          <w:szCs w:val="20"/>
        </w:rPr>
      </w:pPr>
      <w:r w:rsidRPr="00CC1A99">
        <w:rPr>
          <w:rFonts w:ascii="Arial" w:hAnsi="Arial" w:cs="Arial"/>
          <w:sz w:val="20"/>
          <w:szCs w:val="20"/>
        </w:rPr>
        <w:t>Non</w:t>
      </w:r>
      <w:r>
        <w:rPr>
          <w:rFonts w:ascii="Arial" w:hAnsi="Arial" w:cs="Arial"/>
          <w:sz w:val="20"/>
          <w:szCs w:val="20"/>
        </w:rPr>
        <w:t>-t</w:t>
      </w:r>
      <w:r w:rsidRPr="00CC1A99">
        <w:rPr>
          <w:rFonts w:ascii="Arial" w:hAnsi="Arial" w:cs="Arial"/>
          <w:sz w:val="20"/>
          <w:szCs w:val="20"/>
        </w:rPr>
        <w:t>rading items comprise</w:t>
      </w:r>
      <w:r>
        <w:rPr>
          <w:rFonts w:ascii="Arial" w:hAnsi="Arial" w:cs="Arial"/>
          <w:sz w:val="20"/>
          <w:szCs w:val="20"/>
        </w:rPr>
        <w:t xml:space="preserve"> a gain of £0.06 million</w:t>
      </w:r>
      <w:r w:rsidRPr="00CC1A99">
        <w:rPr>
          <w:rFonts w:ascii="Arial" w:hAnsi="Arial" w:cs="Arial"/>
          <w:sz w:val="20"/>
          <w:szCs w:val="20"/>
        </w:rPr>
        <w:t xml:space="preserve"> </w:t>
      </w:r>
      <w:r>
        <w:rPr>
          <w:rFonts w:ascii="Arial" w:hAnsi="Arial" w:cs="Arial"/>
          <w:sz w:val="20"/>
          <w:szCs w:val="20"/>
        </w:rPr>
        <w:t>on the final transfer of the PHFC defined benefit scheme (</w:t>
      </w:r>
      <w:r w:rsidRPr="003074FF">
        <w:rPr>
          <w:rFonts w:ascii="Arial" w:hAnsi="Arial" w:cs="Arial"/>
          <w:i/>
          <w:sz w:val="20"/>
          <w:szCs w:val="20"/>
        </w:rPr>
        <w:t>2013: loss £0.18 million</w:t>
      </w:r>
      <w:r>
        <w:rPr>
          <w:rFonts w:ascii="Arial" w:hAnsi="Arial" w:cs="Arial"/>
          <w:sz w:val="20"/>
          <w:szCs w:val="20"/>
        </w:rPr>
        <w:t xml:space="preserve">), and a fall in the amortisation charge to £0.31 million on the intangible assets </w:t>
      </w:r>
      <w:r>
        <w:rPr>
          <w:rFonts w:ascii="Arial" w:hAnsi="Arial" w:cs="Arial"/>
          <w:i/>
          <w:sz w:val="20"/>
          <w:szCs w:val="20"/>
        </w:rPr>
        <w:t>(2013: £0.40</w:t>
      </w:r>
      <w:r w:rsidRPr="007122F8">
        <w:rPr>
          <w:rFonts w:ascii="Arial" w:hAnsi="Arial" w:cs="Arial"/>
          <w:i/>
          <w:sz w:val="20"/>
          <w:szCs w:val="20"/>
        </w:rPr>
        <w:t xml:space="preserve"> million</w:t>
      </w:r>
      <w:r w:rsidRPr="00D53DC7">
        <w:rPr>
          <w:rFonts w:ascii="Arial" w:hAnsi="Arial" w:cs="Arial"/>
          <w:sz w:val="20"/>
          <w:szCs w:val="20"/>
        </w:rPr>
        <w:t>)</w:t>
      </w:r>
      <w:r>
        <w:rPr>
          <w:rFonts w:ascii="Arial" w:hAnsi="Arial" w:cs="Arial"/>
          <w:sz w:val="20"/>
          <w:szCs w:val="20"/>
        </w:rPr>
        <w:t xml:space="preserve"> due to a review of the useful life of the </w:t>
      </w:r>
      <w:proofErr w:type="spellStart"/>
      <w:r>
        <w:rPr>
          <w:rFonts w:ascii="Arial" w:hAnsi="Arial" w:cs="Arial"/>
          <w:sz w:val="20"/>
          <w:szCs w:val="20"/>
        </w:rPr>
        <w:t>Momart</w:t>
      </w:r>
      <w:proofErr w:type="spellEnd"/>
      <w:r>
        <w:rPr>
          <w:rFonts w:ascii="Arial" w:hAnsi="Arial" w:cs="Arial"/>
          <w:sz w:val="20"/>
          <w:szCs w:val="20"/>
        </w:rPr>
        <w:t xml:space="preserve"> brand name, which is now expected to have an indefinite useful life, so amortisation ceased on 30 September 2013. The prior year included </w:t>
      </w:r>
      <w:r w:rsidRPr="00CC1A99">
        <w:rPr>
          <w:rFonts w:ascii="Arial" w:hAnsi="Arial" w:cs="Arial"/>
          <w:sz w:val="20"/>
          <w:szCs w:val="20"/>
        </w:rPr>
        <w:t xml:space="preserve">a </w:t>
      </w:r>
      <w:r>
        <w:rPr>
          <w:rFonts w:ascii="Arial" w:hAnsi="Arial" w:cs="Arial"/>
          <w:sz w:val="20"/>
          <w:szCs w:val="20"/>
        </w:rPr>
        <w:t xml:space="preserve">further </w:t>
      </w:r>
      <w:r w:rsidRPr="00CC1A99">
        <w:rPr>
          <w:rFonts w:ascii="Arial" w:hAnsi="Arial" w:cs="Arial"/>
          <w:sz w:val="20"/>
          <w:szCs w:val="20"/>
        </w:rPr>
        <w:t>p</w:t>
      </w:r>
      <w:r>
        <w:rPr>
          <w:rFonts w:ascii="Arial" w:hAnsi="Arial" w:cs="Arial"/>
          <w:sz w:val="20"/>
          <w:szCs w:val="20"/>
        </w:rPr>
        <w:t>rofit of £0.77</w:t>
      </w:r>
      <w:r w:rsidRPr="00CC1A99">
        <w:rPr>
          <w:rFonts w:ascii="Arial" w:hAnsi="Arial" w:cs="Arial"/>
          <w:sz w:val="20"/>
          <w:szCs w:val="20"/>
        </w:rPr>
        <w:t xml:space="preserve"> millio</w:t>
      </w:r>
      <w:r>
        <w:rPr>
          <w:rFonts w:ascii="Arial" w:hAnsi="Arial" w:cs="Arial"/>
          <w:sz w:val="20"/>
          <w:szCs w:val="20"/>
        </w:rPr>
        <w:t>n on the sale of FOGL shares</w:t>
      </w:r>
      <w:r w:rsidR="00812B39">
        <w:rPr>
          <w:rFonts w:ascii="Arial" w:hAnsi="Arial" w:cs="Arial"/>
          <w:sz w:val="20"/>
          <w:szCs w:val="20"/>
        </w:rPr>
        <w:t xml:space="preserve"> and</w:t>
      </w:r>
      <w:r w:rsidRPr="00CC1A99">
        <w:rPr>
          <w:rFonts w:ascii="Arial" w:hAnsi="Arial" w:cs="Arial"/>
          <w:sz w:val="20"/>
          <w:szCs w:val="20"/>
        </w:rPr>
        <w:t xml:space="preserve"> </w:t>
      </w:r>
      <w:r>
        <w:rPr>
          <w:rFonts w:ascii="Arial" w:hAnsi="Arial" w:cs="Arial"/>
          <w:sz w:val="20"/>
          <w:szCs w:val="20"/>
        </w:rPr>
        <w:t>£0.68 million</w:t>
      </w:r>
      <w:r w:rsidRPr="00CC1A99">
        <w:rPr>
          <w:rFonts w:ascii="Arial" w:hAnsi="Arial" w:cs="Arial"/>
          <w:sz w:val="20"/>
          <w:szCs w:val="20"/>
        </w:rPr>
        <w:t xml:space="preserve"> </w:t>
      </w:r>
      <w:r>
        <w:rPr>
          <w:rFonts w:ascii="Arial" w:hAnsi="Arial" w:cs="Arial"/>
          <w:sz w:val="20"/>
          <w:szCs w:val="20"/>
        </w:rPr>
        <w:t xml:space="preserve">relating to </w:t>
      </w:r>
      <w:r w:rsidRPr="00CC1A99">
        <w:rPr>
          <w:rFonts w:ascii="Arial" w:hAnsi="Arial" w:cs="Arial"/>
          <w:sz w:val="20"/>
          <w:szCs w:val="20"/>
        </w:rPr>
        <w:t xml:space="preserve">the costs of the </w:t>
      </w:r>
      <w:r>
        <w:rPr>
          <w:rFonts w:ascii="Arial" w:hAnsi="Arial" w:cs="Arial"/>
          <w:sz w:val="20"/>
          <w:szCs w:val="20"/>
        </w:rPr>
        <w:t>£10.0 million fund</w:t>
      </w:r>
      <w:r w:rsidRPr="00CC1A99">
        <w:rPr>
          <w:rFonts w:ascii="Arial" w:hAnsi="Arial" w:cs="Arial"/>
          <w:sz w:val="20"/>
          <w:szCs w:val="20"/>
        </w:rPr>
        <w:t xml:space="preserve"> raising</w:t>
      </w:r>
      <w:r>
        <w:rPr>
          <w:rFonts w:ascii="Arial" w:hAnsi="Arial" w:cs="Arial"/>
          <w:sz w:val="20"/>
          <w:szCs w:val="20"/>
        </w:rPr>
        <w:t xml:space="preserve"> in July 2012. </w:t>
      </w:r>
    </w:p>
    <w:p w:rsidR="00367AFF" w:rsidRPr="009306D1" w:rsidRDefault="00367AFF" w:rsidP="00367AFF">
      <w:pPr>
        <w:widowControl w:val="0"/>
        <w:autoSpaceDE w:val="0"/>
        <w:autoSpaceDN w:val="0"/>
        <w:adjustRightInd w:val="0"/>
        <w:spacing w:after="0" w:line="240" w:lineRule="auto"/>
        <w:rPr>
          <w:rFonts w:ascii="Arial" w:hAnsi="Arial" w:cs="Arial"/>
          <w:sz w:val="20"/>
          <w:szCs w:val="20"/>
        </w:rPr>
      </w:pPr>
      <w:r w:rsidRPr="009306D1">
        <w:rPr>
          <w:rFonts w:ascii="Arial" w:hAnsi="Arial" w:cs="Arial"/>
          <w:b/>
          <w:bCs/>
          <w:sz w:val="20"/>
          <w:szCs w:val="20"/>
        </w:rPr>
        <w:t>Net financing costs</w:t>
      </w:r>
    </w:p>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p w:rsidR="00367AFF" w:rsidRPr="009306D1"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9306D1">
        <w:rPr>
          <w:rFonts w:ascii="Arial" w:hAnsi="Arial" w:cs="Arial"/>
          <w:sz w:val="20"/>
          <w:szCs w:val="20"/>
        </w:rPr>
        <w:t>Th</w:t>
      </w:r>
      <w:r>
        <w:rPr>
          <w:rFonts w:ascii="Arial" w:hAnsi="Arial" w:cs="Arial"/>
          <w:sz w:val="20"/>
          <w:szCs w:val="20"/>
        </w:rPr>
        <w:t xml:space="preserve">e Group’s net financing costs remain little changed with the prior year at £0.20 million, with the fall in interest income on bank deposits following the expenditure in the year, being offset by a decrease </w:t>
      </w:r>
      <w:r w:rsidRPr="009306D1">
        <w:rPr>
          <w:rFonts w:ascii="Arial" w:hAnsi="Arial" w:cs="Arial"/>
          <w:sz w:val="20"/>
          <w:szCs w:val="20"/>
        </w:rPr>
        <w:t>in bank interest payable reflecting the £1.0 million reduction in bank loans.</w:t>
      </w:r>
      <w:r>
        <w:rPr>
          <w:rFonts w:ascii="Arial" w:hAnsi="Arial" w:cs="Arial"/>
          <w:sz w:val="20"/>
          <w:szCs w:val="20"/>
        </w:rPr>
        <w:t xml:space="preserve"> </w:t>
      </w:r>
    </w:p>
    <w:p w:rsidR="00367AFF" w:rsidRDefault="00367AFF" w:rsidP="00367AFF">
      <w:pPr>
        <w:widowControl w:val="0"/>
        <w:autoSpaceDE w:val="0"/>
        <w:autoSpaceDN w:val="0"/>
        <w:adjustRightInd w:val="0"/>
        <w:spacing w:after="0" w:line="240" w:lineRule="auto"/>
        <w:rPr>
          <w:rFonts w:ascii="Arial" w:hAnsi="Arial" w:cs="Arial"/>
          <w:b/>
          <w:bCs/>
          <w:sz w:val="20"/>
          <w:szCs w:val="20"/>
        </w:rPr>
      </w:pPr>
    </w:p>
    <w:p w:rsidR="00367AFF" w:rsidRPr="009306D1" w:rsidRDefault="00367AFF" w:rsidP="00367AFF">
      <w:pPr>
        <w:widowControl w:val="0"/>
        <w:autoSpaceDE w:val="0"/>
        <w:autoSpaceDN w:val="0"/>
        <w:adjustRightInd w:val="0"/>
        <w:spacing w:after="0" w:line="240" w:lineRule="auto"/>
        <w:rPr>
          <w:rFonts w:ascii="Arial" w:hAnsi="Arial" w:cs="Arial"/>
          <w:sz w:val="20"/>
          <w:szCs w:val="20"/>
        </w:rPr>
      </w:pPr>
      <w:r w:rsidRPr="009306D1">
        <w:rPr>
          <w:rFonts w:ascii="Arial" w:hAnsi="Arial" w:cs="Arial"/>
          <w:b/>
          <w:bCs/>
          <w:sz w:val="20"/>
          <w:szCs w:val="20"/>
        </w:rPr>
        <w:t>Underlying pre-tax profit</w:t>
      </w:r>
    </w:p>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p w:rsidR="00367AFF" w:rsidRPr="009306D1"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Pr="009306D1">
        <w:rPr>
          <w:rFonts w:ascii="Arial" w:hAnsi="Arial" w:cs="Arial"/>
          <w:sz w:val="20"/>
          <w:szCs w:val="20"/>
        </w:rPr>
        <w:t>he Group’s underlying pre-tax profits (“PBT”) grew b</w:t>
      </w:r>
      <w:r>
        <w:rPr>
          <w:rFonts w:ascii="Arial" w:hAnsi="Arial" w:cs="Arial"/>
          <w:sz w:val="20"/>
          <w:szCs w:val="20"/>
        </w:rPr>
        <w:t>y £0.36 million (10.8%) to £3.65</w:t>
      </w:r>
      <w:r w:rsidRPr="009306D1">
        <w:rPr>
          <w:rFonts w:ascii="Arial" w:hAnsi="Arial" w:cs="Arial"/>
          <w:sz w:val="20"/>
          <w:szCs w:val="20"/>
        </w:rPr>
        <w:t xml:space="preserve"> million</w:t>
      </w:r>
      <w:r>
        <w:rPr>
          <w:rFonts w:ascii="Arial" w:hAnsi="Arial" w:cs="Arial"/>
          <w:sz w:val="20"/>
          <w:szCs w:val="20"/>
        </w:rPr>
        <w:t xml:space="preserve"> (</w:t>
      </w:r>
      <w:r w:rsidRPr="003074FF">
        <w:rPr>
          <w:rFonts w:ascii="Arial" w:hAnsi="Arial" w:cs="Arial"/>
          <w:i/>
          <w:sz w:val="20"/>
          <w:szCs w:val="20"/>
        </w:rPr>
        <w:t>2013: £3.2</w:t>
      </w:r>
      <w:r>
        <w:rPr>
          <w:rFonts w:ascii="Arial" w:hAnsi="Arial" w:cs="Arial"/>
          <w:i/>
          <w:sz w:val="20"/>
          <w:szCs w:val="20"/>
        </w:rPr>
        <w:t xml:space="preserve">9 </w:t>
      </w:r>
      <w:r w:rsidRPr="003074FF">
        <w:rPr>
          <w:rFonts w:ascii="Arial" w:hAnsi="Arial" w:cs="Arial"/>
          <w:i/>
          <w:sz w:val="20"/>
          <w:szCs w:val="20"/>
        </w:rPr>
        <w:t>million</w:t>
      </w:r>
      <w:r>
        <w:rPr>
          <w:rFonts w:ascii="Arial" w:hAnsi="Arial" w:cs="Arial"/>
          <w:sz w:val="20"/>
          <w:szCs w:val="20"/>
        </w:rPr>
        <w:t>)</w:t>
      </w:r>
      <w:r w:rsidRPr="009306D1">
        <w:rPr>
          <w:rFonts w:ascii="Arial" w:hAnsi="Arial" w:cs="Arial"/>
          <w:sz w:val="20"/>
          <w:szCs w:val="20"/>
        </w:rPr>
        <w:t>.</w:t>
      </w:r>
    </w:p>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p w:rsidR="00367AFF" w:rsidRPr="009306D1" w:rsidRDefault="00367AFF" w:rsidP="00367AFF">
      <w:pPr>
        <w:widowControl w:val="0"/>
        <w:autoSpaceDE w:val="0"/>
        <w:autoSpaceDN w:val="0"/>
        <w:adjustRightInd w:val="0"/>
        <w:spacing w:after="0" w:line="240" w:lineRule="auto"/>
        <w:rPr>
          <w:rFonts w:ascii="Arial" w:hAnsi="Arial" w:cs="Arial"/>
          <w:sz w:val="20"/>
          <w:szCs w:val="20"/>
        </w:rPr>
      </w:pPr>
      <w:r w:rsidRPr="009306D1">
        <w:rPr>
          <w:rFonts w:ascii="Arial" w:hAnsi="Arial" w:cs="Arial"/>
          <w:b/>
          <w:bCs/>
          <w:sz w:val="20"/>
          <w:szCs w:val="20"/>
        </w:rPr>
        <w:t>Reported pre-tax profit</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8A383B">
        <w:rPr>
          <w:rFonts w:ascii="Arial" w:hAnsi="Arial" w:cs="Arial"/>
          <w:sz w:val="20"/>
          <w:szCs w:val="20"/>
        </w:rPr>
        <w:t>After charging £0.</w:t>
      </w:r>
      <w:r>
        <w:rPr>
          <w:rFonts w:ascii="Arial" w:hAnsi="Arial" w:cs="Arial"/>
          <w:sz w:val="20"/>
          <w:szCs w:val="20"/>
        </w:rPr>
        <w:t>3</w:t>
      </w:r>
      <w:r w:rsidRPr="008A383B">
        <w:rPr>
          <w:rFonts w:ascii="Arial" w:hAnsi="Arial" w:cs="Arial"/>
          <w:sz w:val="20"/>
          <w:szCs w:val="20"/>
        </w:rPr>
        <w:t xml:space="preserve"> million for the amortisation of intangible assets </w:t>
      </w:r>
      <w:r>
        <w:rPr>
          <w:rFonts w:ascii="Arial" w:hAnsi="Arial" w:cs="Arial"/>
          <w:i/>
          <w:iCs/>
          <w:sz w:val="20"/>
          <w:szCs w:val="20"/>
        </w:rPr>
        <w:t>(2013</w:t>
      </w:r>
      <w:r w:rsidRPr="008A383B">
        <w:rPr>
          <w:rFonts w:ascii="Arial" w:hAnsi="Arial" w:cs="Arial"/>
          <w:i/>
          <w:iCs/>
          <w:sz w:val="20"/>
          <w:szCs w:val="20"/>
        </w:rPr>
        <w:t>: £0.4 million)</w:t>
      </w:r>
      <w:r>
        <w:rPr>
          <w:rFonts w:ascii="Arial" w:hAnsi="Arial" w:cs="Arial"/>
          <w:i/>
          <w:iCs/>
          <w:sz w:val="20"/>
          <w:szCs w:val="20"/>
        </w:rPr>
        <w:t xml:space="preserve">, </w:t>
      </w:r>
      <w:r w:rsidRPr="00DC2D40">
        <w:rPr>
          <w:rFonts w:ascii="Arial" w:hAnsi="Arial" w:cs="Arial"/>
          <w:iCs/>
          <w:sz w:val="20"/>
          <w:szCs w:val="20"/>
        </w:rPr>
        <w:t xml:space="preserve">and the </w:t>
      </w:r>
      <w:r>
        <w:rPr>
          <w:rFonts w:ascii="Arial" w:hAnsi="Arial" w:cs="Arial"/>
          <w:sz w:val="20"/>
          <w:szCs w:val="20"/>
        </w:rPr>
        <w:t>othe</w:t>
      </w:r>
      <w:r w:rsidR="003C69E2">
        <w:rPr>
          <w:rFonts w:ascii="Arial" w:hAnsi="Arial" w:cs="Arial"/>
          <w:sz w:val="20"/>
          <w:szCs w:val="20"/>
        </w:rPr>
        <w:t>r non-trading items noted above</w:t>
      </w:r>
      <w:r>
        <w:rPr>
          <w:rFonts w:ascii="Arial" w:hAnsi="Arial" w:cs="Arial"/>
          <w:sz w:val="20"/>
          <w:szCs w:val="20"/>
        </w:rPr>
        <w:t>,</w:t>
      </w:r>
      <w:r w:rsidRPr="008A383B">
        <w:rPr>
          <w:rFonts w:ascii="Arial" w:hAnsi="Arial" w:cs="Arial"/>
          <w:sz w:val="20"/>
          <w:szCs w:val="20"/>
        </w:rPr>
        <w:t xml:space="preserve"> reported profit before tax for the Group </w:t>
      </w:r>
      <w:r>
        <w:rPr>
          <w:rFonts w:ascii="Arial" w:hAnsi="Arial" w:cs="Arial"/>
          <w:sz w:val="20"/>
          <w:szCs w:val="20"/>
        </w:rPr>
        <w:t>increased by 21.7% to £3.40</w:t>
      </w:r>
      <w:r w:rsidRPr="008A383B">
        <w:rPr>
          <w:rFonts w:ascii="Arial" w:hAnsi="Arial" w:cs="Arial"/>
          <w:sz w:val="20"/>
          <w:szCs w:val="20"/>
        </w:rPr>
        <w:t xml:space="preserve"> million </w:t>
      </w:r>
      <w:r>
        <w:rPr>
          <w:rFonts w:ascii="Arial" w:hAnsi="Arial" w:cs="Arial"/>
          <w:i/>
          <w:iCs/>
          <w:sz w:val="20"/>
          <w:szCs w:val="20"/>
        </w:rPr>
        <w:t>(2013: £2.8</w:t>
      </w:r>
      <w:r w:rsidRPr="008A383B">
        <w:rPr>
          <w:rFonts w:ascii="Arial" w:hAnsi="Arial" w:cs="Arial"/>
          <w:i/>
          <w:iCs/>
          <w:sz w:val="20"/>
          <w:szCs w:val="20"/>
        </w:rPr>
        <w:t xml:space="preserve"> million)</w:t>
      </w:r>
      <w:r w:rsidRPr="008A383B">
        <w:rPr>
          <w:rFonts w:ascii="Arial" w:hAnsi="Arial" w:cs="Arial"/>
          <w:sz w:val="20"/>
          <w:szCs w:val="20"/>
        </w:rPr>
        <w:t>.</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r w:rsidRPr="008A383B">
        <w:rPr>
          <w:rFonts w:ascii="Arial" w:hAnsi="Arial" w:cs="Arial"/>
          <w:b/>
          <w:bCs/>
          <w:sz w:val="20"/>
          <w:szCs w:val="20"/>
        </w:rPr>
        <w:t>Taxation</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8A383B">
        <w:rPr>
          <w:rFonts w:ascii="Arial" w:hAnsi="Arial" w:cs="Arial"/>
          <w:sz w:val="20"/>
          <w:szCs w:val="20"/>
        </w:rPr>
        <w:t xml:space="preserve">The Group pays corporation tax on its UK </w:t>
      </w:r>
      <w:r>
        <w:rPr>
          <w:rFonts w:ascii="Arial" w:hAnsi="Arial" w:cs="Arial"/>
          <w:sz w:val="20"/>
          <w:szCs w:val="20"/>
        </w:rPr>
        <w:t xml:space="preserve">earnings at 23% </w:t>
      </w:r>
      <w:r w:rsidRPr="008A383B">
        <w:rPr>
          <w:rFonts w:ascii="Arial" w:hAnsi="Arial" w:cs="Arial"/>
          <w:sz w:val="20"/>
          <w:szCs w:val="20"/>
        </w:rPr>
        <w:t xml:space="preserve">and </w:t>
      </w:r>
      <w:r>
        <w:rPr>
          <w:rFonts w:ascii="Arial" w:hAnsi="Arial" w:cs="Arial"/>
          <w:sz w:val="20"/>
          <w:szCs w:val="20"/>
        </w:rPr>
        <w:t xml:space="preserve">on </w:t>
      </w:r>
      <w:r w:rsidRPr="008A383B">
        <w:rPr>
          <w:rFonts w:ascii="Arial" w:hAnsi="Arial" w:cs="Arial"/>
          <w:sz w:val="20"/>
          <w:szCs w:val="20"/>
        </w:rPr>
        <w:t xml:space="preserve">earnings </w:t>
      </w:r>
      <w:r>
        <w:rPr>
          <w:rFonts w:ascii="Arial" w:hAnsi="Arial" w:cs="Arial"/>
          <w:sz w:val="20"/>
          <w:szCs w:val="20"/>
        </w:rPr>
        <w:t xml:space="preserve">in the </w:t>
      </w:r>
      <w:r w:rsidRPr="008A383B">
        <w:rPr>
          <w:rFonts w:ascii="Arial" w:hAnsi="Arial" w:cs="Arial"/>
          <w:sz w:val="20"/>
          <w:szCs w:val="20"/>
        </w:rPr>
        <w:t xml:space="preserve">Falkland Islands at 26%. </w:t>
      </w:r>
      <w:r>
        <w:rPr>
          <w:rFonts w:ascii="Arial" w:hAnsi="Arial" w:cs="Arial"/>
          <w:sz w:val="20"/>
          <w:szCs w:val="20"/>
        </w:rPr>
        <w:t xml:space="preserve">The Falklands Islands Company Limited has been granted a foreign branch exemption, and as a result no longer pays UK corporation tax and will gain the full benefit of the tax </w:t>
      </w:r>
      <w:proofErr w:type="spellStart"/>
      <w:r>
        <w:rPr>
          <w:rFonts w:ascii="Arial" w:hAnsi="Arial" w:cs="Arial"/>
          <w:sz w:val="20"/>
          <w:szCs w:val="20"/>
        </w:rPr>
        <w:t>allowability</w:t>
      </w:r>
      <w:proofErr w:type="spellEnd"/>
      <w:r>
        <w:rPr>
          <w:rFonts w:ascii="Arial" w:hAnsi="Arial" w:cs="Arial"/>
          <w:sz w:val="20"/>
          <w:szCs w:val="20"/>
        </w:rPr>
        <w:t xml:space="preserve"> in the Falkland Islands of expenditure on comme</w:t>
      </w:r>
      <w:r w:rsidR="003C69E2">
        <w:rPr>
          <w:rFonts w:ascii="Arial" w:hAnsi="Arial" w:cs="Arial"/>
          <w:sz w:val="20"/>
          <w:szCs w:val="20"/>
        </w:rPr>
        <w:t>rcial and industrial buildings</w:t>
      </w:r>
      <w:r>
        <w:rPr>
          <w:rFonts w:ascii="Arial" w:hAnsi="Arial" w:cs="Arial"/>
          <w:sz w:val="20"/>
          <w:szCs w:val="20"/>
        </w:rPr>
        <w:t>. The effective tax rate on underlying profits is 24.7% (</w:t>
      </w:r>
      <w:r w:rsidRPr="00B248B7">
        <w:rPr>
          <w:rFonts w:ascii="Arial" w:hAnsi="Arial" w:cs="Arial"/>
          <w:i/>
          <w:sz w:val="20"/>
          <w:szCs w:val="20"/>
        </w:rPr>
        <w:t>2013: 24.2%</w:t>
      </w:r>
      <w:r>
        <w:rPr>
          <w:rFonts w:ascii="Arial" w:hAnsi="Arial" w:cs="Arial"/>
          <w:sz w:val="20"/>
          <w:szCs w:val="20"/>
        </w:rPr>
        <w:t xml:space="preserve">). </w:t>
      </w:r>
    </w:p>
    <w:p w:rsidR="00367AFF" w:rsidRDefault="00367AFF" w:rsidP="00367AFF">
      <w:pPr>
        <w:widowControl w:val="0"/>
        <w:autoSpaceDE w:val="0"/>
        <w:autoSpaceDN w:val="0"/>
        <w:adjustRightInd w:val="0"/>
        <w:spacing w:after="0" w:line="240" w:lineRule="auto"/>
        <w:rPr>
          <w:rFonts w:ascii="Arial" w:hAnsi="Arial" w:cs="Arial"/>
          <w:sz w:val="20"/>
          <w:szCs w:val="20"/>
        </w:rPr>
      </w:pPr>
    </w:p>
    <w:p w:rsidR="00367AFF" w:rsidRPr="00795E6F" w:rsidRDefault="00367AFF" w:rsidP="00367AFF">
      <w:pPr>
        <w:widowControl w:val="0"/>
        <w:autoSpaceDE w:val="0"/>
        <w:autoSpaceDN w:val="0"/>
        <w:adjustRightInd w:val="0"/>
        <w:spacing w:after="0" w:line="240" w:lineRule="auto"/>
        <w:rPr>
          <w:rFonts w:ascii="Arial" w:hAnsi="Arial" w:cs="Arial"/>
          <w:b/>
          <w:bCs/>
          <w:sz w:val="20"/>
          <w:szCs w:val="20"/>
        </w:rPr>
      </w:pPr>
      <w:r w:rsidRPr="00795E6F">
        <w:rPr>
          <w:rFonts w:ascii="Arial" w:hAnsi="Arial" w:cs="Arial"/>
          <w:b/>
          <w:bCs/>
          <w:sz w:val="20"/>
          <w:szCs w:val="20"/>
        </w:rPr>
        <w:t>Earnings per share</w:t>
      </w:r>
    </w:p>
    <w:p w:rsidR="00367AFF" w:rsidRPr="00716B7C" w:rsidRDefault="00367AFF" w:rsidP="00367AFF">
      <w:pPr>
        <w:widowControl w:val="0"/>
        <w:autoSpaceDE w:val="0"/>
        <w:autoSpaceDN w:val="0"/>
        <w:adjustRightInd w:val="0"/>
        <w:spacing w:after="0" w:line="260" w:lineRule="exact"/>
        <w:rPr>
          <w:rFonts w:ascii="Arial" w:hAnsi="Arial" w:cs="Arial"/>
          <w:sz w:val="24"/>
          <w:szCs w:val="24"/>
        </w:rPr>
      </w:pPr>
    </w:p>
    <w:tbl>
      <w:tblPr>
        <w:tblW w:w="8994" w:type="dxa"/>
        <w:tblInd w:w="220" w:type="dxa"/>
        <w:tblLayout w:type="fixed"/>
        <w:tblCellMar>
          <w:left w:w="0" w:type="dxa"/>
          <w:right w:w="0" w:type="dxa"/>
        </w:tblCellMar>
        <w:tblLook w:val="0000" w:firstRow="0" w:lastRow="0" w:firstColumn="0" w:lastColumn="0" w:noHBand="0" w:noVBand="0"/>
      </w:tblPr>
      <w:tblGrid>
        <w:gridCol w:w="5592"/>
        <w:gridCol w:w="1276"/>
        <w:gridCol w:w="1134"/>
        <w:gridCol w:w="992"/>
      </w:tblGrid>
      <w:tr w:rsidR="00367AFF" w:rsidRPr="009306D1" w:rsidTr="00367AFF">
        <w:trPr>
          <w:trHeight w:val="164"/>
        </w:trPr>
        <w:tc>
          <w:tcPr>
            <w:tcW w:w="5592"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Year ended 31 March</w:t>
            </w:r>
          </w:p>
        </w:tc>
        <w:tc>
          <w:tcPr>
            <w:tcW w:w="1276" w:type="dxa"/>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2014</w:t>
            </w:r>
          </w:p>
        </w:tc>
        <w:tc>
          <w:tcPr>
            <w:tcW w:w="1134" w:type="dxa"/>
            <w:tcBorders>
              <w:top w:val="nil"/>
              <w:left w:val="nil"/>
              <w:bottom w:val="nil"/>
              <w:right w:val="nil"/>
            </w:tcBorders>
            <w:vAlign w:val="bottom"/>
          </w:tcPr>
          <w:p w:rsidR="00367AFF"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2013</w:t>
            </w:r>
          </w:p>
        </w:tc>
        <w:tc>
          <w:tcPr>
            <w:tcW w:w="992" w:type="dxa"/>
            <w:vMerge w:val="restart"/>
            <w:tcBorders>
              <w:top w:val="nil"/>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sidRPr="009306D1">
              <w:rPr>
                <w:rFonts w:ascii="Arial" w:hAnsi="Arial" w:cs="Arial"/>
                <w:i/>
                <w:iCs/>
                <w:sz w:val="20"/>
                <w:szCs w:val="20"/>
              </w:rPr>
              <w:t>Change</w:t>
            </w:r>
          </w:p>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sidRPr="009306D1">
              <w:rPr>
                <w:rFonts w:ascii="Arial" w:hAnsi="Arial" w:cs="Arial"/>
                <w:i/>
                <w:iCs/>
                <w:sz w:val="20"/>
                <w:szCs w:val="20"/>
              </w:rPr>
              <w:t>%</w:t>
            </w:r>
          </w:p>
        </w:tc>
      </w:tr>
      <w:tr w:rsidR="00367AFF" w:rsidRPr="009306D1" w:rsidTr="00367AFF">
        <w:trPr>
          <w:trHeight w:val="180"/>
        </w:trPr>
        <w:tc>
          <w:tcPr>
            <w:tcW w:w="5592"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76"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sidRPr="009306D1">
              <w:rPr>
                <w:rFonts w:ascii="Arial" w:hAnsi="Arial" w:cs="Arial"/>
                <w:sz w:val="20"/>
                <w:szCs w:val="20"/>
              </w:rPr>
              <w:t>£m</w:t>
            </w:r>
          </w:p>
        </w:tc>
        <w:tc>
          <w:tcPr>
            <w:tcW w:w="113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sidRPr="009306D1">
              <w:rPr>
                <w:rFonts w:ascii="Arial" w:hAnsi="Arial" w:cs="Arial"/>
                <w:sz w:val="20"/>
                <w:szCs w:val="20"/>
              </w:rPr>
              <w:t>£m</w:t>
            </w:r>
          </w:p>
        </w:tc>
        <w:tc>
          <w:tcPr>
            <w:tcW w:w="992" w:type="dxa"/>
            <w:vMerge/>
            <w:tcBorders>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p>
        </w:tc>
      </w:tr>
      <w:tr w:rsidR="00367AFF" w:rsidRPr="009306D1" w:rsidTr="00367AFF">
        <w:trPr>
          <w:trHeight w:val="375"/>
        </w:trPr>
        <w:tc>
          <w:tcPr>
            <w:tcW w:w="5592" w:type="dxa"/>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Underlying profit</w:t>
            </w:r>
          </w:p>
        </w:tc>
        <w:tc>
          <w:tcPr>
            <w:tcW w:w="1276" w:type="dxa"/>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3E44EB" w:rsidTr="00367AFF">
        <w:trPr>
          <w:trHeight w:val="200"/>
        </w:trPr>
        <w:tc>
          <w:tcPr>
            <w:tcW w:w="5592"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before tax</w:t>
            </w:r>
          </w:p>
        </w:tc>
        <w:tc>
          <w:tcPr>
            <w:tcW w:w="1276" w:type="dxa"/>
            <w:tcBorders>
              <w:top w:val="nil"/>
              <w:left w:val="nil"/>
              <w:right w:val="nil"/>
            </w:tcBorders>
            <w:vAlign w:val="bottom"/>
          </w:tcPr>
          <w:p w:rsidR="00367AFF" w:rsidRPr="00874E2F" w:rsidRDefault="00367AFF" w:rsidP="00367AFF">
            <w:pPr>
              <w:widowControl w:val="0"/>
              <w:autoSpaceDE w:val="0"/>
              <w:autoSpaceDN w:val="0"/>
              <w:adjustRightInd w:val="0"/>
              <w:spacing w:after="0" w:line="240" w:lineRule="auto"/>
              <w:ind w:right="85"/>
              <w:jc w:val="right"/>
              <w:rPr>
                <w:rFonts w:ascii="Arial" w:hAnsi="Arial" w:cs="Arial"/>
                <w:sz w:val="20"/>
                <w:szCs w:val="20"/>
              </w:rPr>
            </w:pPr>
            <w:r w:rsidRPr="00874E2F">
              <w:rPr>
                <w:rFonts w:ascii="Arial" w:hAnsi="Arial" w:cs="Arial"/>
                <w:sz w:val="20"/>
                <w:szCs w:val="20"/>
              </w:rPr>
              <w:t>3.65</w:t>
            </w:r>
          </w:p>
        </w:tc>
        <w:tc>
          <w:tcPr>
            <w:tcW w:w="1134" w:type="dxa"/>
            <w:tcBorders>
              <w:top w:val="nil"/>
              <w:left w:val="nil"/>
              <w:right w:val="nil"/>
            </w:tcBorders>
            <w:vAlign w:val="bottom"/>
          </w:tcPr>
          <w:p w:rsidR="00367AFF" w:rsidRPr="00874E2F" w:rsidRDefault="00367AFF" w:rsidP="00367AFF">
            <w:pPr>
              <w:widowControl w:val="0"/>
              <w:autoSpaceDE w:val="0"/>
              <w:autoSpaceDN w:val="0"/>
              <w:adjustRightInd w:val="0"/>
              <w:spacing w:after="0" w:line="240" w:lineRule="auto"/>
              <w:ind w:right="85"/>
              <w:jc w:val="right"/>
              <w:rPr>
                <w:rFonts w:ascii="Arial" w:hAnsi="Arial" w:cs="Arial"/>
                <w:sz w:val="20"/>
                <w:szCs w:val="20"/>
              </w:rPr>
            </w:pPr>
            <w:r w:rsidRPr="00874E2F">
              <w:rPr>
                <w:rFonts w:ascii="Arial" w:hAnsi="Arial" w:cs="Arial"/>
                <w:sz w:val="20"/>
                <w:szCs w:val="20"/>
              </w:rPr>
              <w:t>3.29</w:t>
            </w:r>
          </w:p>
        </w:tc>
        <w:tc>
          <w:tcPr>
            <w:tcW w:w="992" w:type="dxa"/>
            <w:tcBorders>
              <w:top w:val="nil"/>
              <w:left w:val="nil"/>
              <w:right w:val="nil"/>
            </w:tcBorders>
            <w:vAlign w:val="bottom"/>
          </w:tcPr>
          <w:p w:rsidR="00367AFF" w:rsidRPr="00D3168A" w:rsidRDefault="00367AFF" w:rsidP="00367AFF">
            <w:pPr>
              <w:widowControl w:val="0"/>
              <w:autoSpaceDE w:val="0"/>
              <w:autoSpaceDN w:val="0"/>
              <w:adjustRightInd w:val="0"/>
              <w:spacing w:after="0" w:line="240" w:lineRule="auto"/>
              <w:ind w:right="25"/>
              <w:jc w:val="right"/>
              <w:rPr>
                <w:rFonts w:ascii="Arial" w:hAnsi="Arial" w:cs="Arial"/>
                <w:i/>
                <w:sz w:val="20"/>
                <w:szCs w:val="20"/>
              </w:rPr>
            </w:pPr>
            <w:r w:rsidRPr="00F90DE7">
              <w:rPr>
                <w:rFonts w:ascii="Arial" w:hAnsi="Arial" w:cs="Arial"/>
                <w:i/>
                <w:iCs/>
                <w:sz w:val="20"/>
                <w:szCs w:val="20"/>
              </w:rPr>
              <w:t>10.8</w:t>
            </w:r>
          </w:p>
        </w:tc>
      </w:tr>
      <w:tr w:rsidR="00367AFF" w:rsidRPr="003E44EB" w:rsidTr="00367AFF">
        <w:trPr>
          <w:trHeight w:val="31"/>
        </w:trPr>
        <w:tc>
          <w:tcPr>
            <w:tcW w:w="5592"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76"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13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992" w:type="dxa"/>
            <w:tcBorders>
              <w:top w:val="nil"/>
              <w:left w:val="nil"/>
              <w:bottom w:val="single" w:sz="4" w:space="0" w:color="auto"/>
              <w:right w:val="nil"/>
            </w:tcBorders>
            <w:vAlign w:val="bottom"/>
          </w:tcPr>
          <w:p w:rsidR="00367AFF" w:rsidRPr="00F90DE7" w:rsidRDefault="00367AFF" w:rsidP="00367AFF">
            <w:pPr>
              <w:widowControl w:val="0"/>
              <w:autoSpaceDE w:val="0"/>
              <w:autoSpaceDN w:val="0"/>
              <w:adjustRightInd w:val="0"/>
              <w:spacing w:after="0" w:line="240" w:lineRule="auto"/>
              <w:rPr>
                <w:rFonts w:ascii="Arial" w:hAnsi="Arial" w:cs="Arial"/>
                <w:i/>
                <w:sz w:val="20"/>
                <w:szCs w:val="20"/>
              </w:rPr>
            </w:pPr>
          </w:p>
        </w:tc>
      </w:tr>
      <w:tr w:rsidR="00367AFF" w:rsidRPr="003E44EB" w:rsidTr="00367AFF">
        <w:trPr>
          <w:trHeight w:val="232"/>
        </w:trPr>
        <w:tc>
          <w:tcPr>
            <w:tcW w:w="5592" w:type="dxa"/>
            <w:tcBorders>
              <w:top w:val="single" w:sz="4" w:space="0" w:color="auto"/>
              <w:left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Taxation</w:t>
            </w:r>
            <w:r>
              <w:rPr>
                <w:rFonts w:ascii="Arial" w:hAnsi="Arial" w:cs="Arial"/>
                <w:sz w:val="20"/>
                <w:szCs w:val="20"/>
              </w:rPr>
              <w:t xml:space="preserve"> on underlying profit</w:t>
            </w:r>
          </w:p>
        </w:tc>
        <w:tc>
          <w:tcPr>
            <w:tcW w:w="1276" w:type="dxa"/>
            <w:tcBorders>
              <w:top w:val="single" w:sz="4" w:space="0" w:color="auto"/>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sz w:val="20"/>
                <w:szCs w:val="20"/>
              </w:rPr>
              <w:t>(0.90</w:t>
            </w:r>
            <w:r w:rsidRPr="009306D1">
              <w:rPr>
                <w:rFonts w:ascii="Arial" w:hAnsi="Arial" w:cs="Arial"/>
                <w:sz w:val="20"/>
                <w:szCs w:val="20"/>
              </w:rPr>
              <w:t>)</w:t>
            </w:r>
          </w:p>
        </w:tc>
        <w:tc>
          <w:tcPr>
            <w:tcW w:w="1134" w:type="dxa"/>
            <w:tcBorders>
              <w:top w:val="single" w:sz="4" w:space="0" w:color="auto"/>
              <w:left w:val="nil"/>
              <w:right w:val="nil"/>
            </w:tcBorders>
            <w:vAlign w:val="bottom"/>
          </w:tcPr>
          <w:p w:rsidR="00367AFF" w:rsidRPr="009306D1" w:rsidRDefault="00367AFF" w:rsidP="00367AFF">
            <w:pPr>
              <w:widowControl w:val="0"/>
              <w:autoSpaceDE w:val="0"/>
              <w:autoSpaceDN w:val="0"/>
              <w:adjustRightInd w:val="0"/>
              <w:spacing w:after="0" w:line="240" w:lineRule="auto"/>
              <w:ind w:right="25"/>
              <w:jc w:val="right"/>
              <w:rPr>
                <w:rFonts w:ascii="Arial" w:hAnsi="Arial" w:cs="Arial"/>
                <w:sz w:val="20"/>
                <w:szCs w:val="20"/>
              </w:rPr>
            </w:pPr>
            <w:r>
              <w:rPr>
                <w:rFonts w:ascii="Arial" w:hAnsi="Arial" w:cs="Arial"/>
                <w:sz w:val="20"/>
                <w:szCs w:val="20"/>
              </w:rPr>
              <w:t>(0.80</w:t>
            </w:r>
            <w:r w:rsidRPr="009306D1">
              <w:rPr>
                <w:rFonts w:ascii="Arial" w:hAnsi="Arial" w:cs="Arial"/>
                <w:sz w:val="20"/>
                <w:szCs w:val="20"/>
              </w:rPr>
              <w:t>)</w:t>
            </w:r>
          </w:p>
        </w:tc>
        <w:tc>
          <w:tcPr>
            <w:tcW w:w="992" w:type="dxa"/>
            <w:tcBorders>
              <w:top w:val="single" w:sz="4" w:space="0" w:color="auto"/>
              <w:left w:val="nil"/>
              <w:right w:val="nil"/>
            </w:tcBorders>
            <w:vAlign w:val="bottom"/>
          </w:tcPr>
          <w:p w:rsidR="00367AFF" w:rsidRPr="003E44EB" w:rsidRDefault="00367AFF" w:rsidP="00367AFF">
            <w:pPr>
              <w:widowControl w:val="0"/>
              <w:autoSpaceDE w:val="0"/>
              <w:autoSpaceDN w:val="0"/>
              <w:adjustRightInd w:val="0"/>
              <w:spacing w:after="0" w:line="240" w:lineRule="auto"/>
              <w:jc w:val="right"/>
              <w:rPr>
                <w:rFonts w:ascii="Arial" w:hAnsi="Arial" w:cs="Arial"/>
                <w:i/>
                <w:sz w:val="20"/>
                <w:szCs w:val="20"/>
              </w:rPr>
            </w:pPr>
            <w:r w:rsidRPr="00F90DE7">
              <w:rPr>
                <w:rFonts w:ascii="Arial" w:hAnsi="Arial" w:cs="Arial"/>
                <w:i/>
                <w:iCs/>
                <w:sz w:val="20"/>
                <w:szCs w:val="20"/>
              </w:rPr>
              <w:t>13.2</w:t>
            </w:r>
          </w:p>
        </w:tc>
      </w:tr>
      <w:tr w:rsidR="00367AFF" w:rsidRPr="003E44EB" w:rsidTr="00367AFF">
        <w:trPr>
          <w:trHeight w:val="31"/>
        </w:trPr>
        <w:tc>
          <w:tcPr>
            <w:tcW w:w="5592"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76"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13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992" w:type="dxa"/>
            <w:tcBorders>
              <w:top w:val="nil"/>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240" w:lineRule="auto"/>
              <w:rPr>
                <w:rFonts w:ascii="Arial" w:hAnsi="Arial" w:cs="Arial"/>
                <w:i/>
                <w:sz w:val="20"/>
                <w:szCs w:val="20"/>
              </w:rPr>
            </w:pPr>
          </w:p>
        </w:tc>
      </w:tr>
      <w:tr w:rsidR="00367AFF" w:rsidRPr="003E44EB" w:rsidTr="00367AFF">
        <w:trPr>
          <w:trHeight w:val="261"/>
        </w:trPr>
        <w:tc>
          <w:tcPr>
            <w:tcW w:w="5592" w:type="dxa"/>
            <w:tcBorders>
              <w:top w:val="single" w:sz="4" w:space="0" w:color="auto"/>
              <w:left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Underlying profit after tax</w:t>
            </w:r>
          </w:p>
        </w:tc>
        <w:tc>
          <w:tcPr>
            <w:tcW w:w="1276" w:type="dxa"/>
            <w:tcBorders>
              <w:top w:val="single" w:sz="4" w:space="0" w:color="auto"/>
              <w:left w:val="nil"/>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2.75</w:t>
            </w:r>
          </w:p>
        </w:tc>
        <w:tc>
          <w:tcPr>
            <w:tcW w:w="1134" w:type="dxa"/>
            <w:tcBorders>
              <w:top w:val="single" w:sz="4" w:space="0" w:color="auto"/>
              <w:left w:val="nil"/>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2.49</w:t>
            </w:r>
          </w:p>
        </w:tc>
        <w:tc>
          <w:tcPr>
            <w:tcW w:w="992" w:type="dxa"/>
            <w:tcBorders>
              <w:top w:val="single" w:sz="4" w:space="0" w:color="auto"/>
              <w:left w:val="nil"/>
              <w:right w:val="nil"/>
            </w:tcBorders>
            <w:vAlign w:val="bottom"/>
          </w:tcPr>
          <w:p w:rsidR="00367AFF" w:rsidRPr="003E44EB" w:rsidRDefault="00367AFF" w:rsidP="00367AFF">
            <w:pPr>
              <w:widowControl w:val="0"/>
              <w:autoSpaceDE w:val="0"/>
              <w:autoSpaceDN w:val="0"/>
              <w:adjustRightInd w:val="0"/>
              <w:spacing w:after="0" w:line="240" w:lineRule="auto"/>
              <w:ind w:right="25"/>
              <w:jc w:val="right"/>
              <w:rPr>
                <w:rFonts w:ascii="Arial" w:hAnsi="Arial" w:cs="Arial"/>
                <w:i/>
                <w:sz w:val="20"/>
                <w:szCs w:val="20"/>
              </w:rPr>
            </w:pPr>
            <w:r w:rsidRPr="00F90DE7">
              <w:rPr>
                <w:rFonts w:ascii="Arial" w:hAnsi="Arial" w:cs="Arial"/>
                <w:i/>
                <w:iCs/>
                <w:sz w:val="20"/>
                <w:szCs w:val="20"/>
              </w:rPr>
              <w:t>10.1</w:t>
            </w:r>
          </w:p>
        </w:tc>
      </w:tr>
      <w:tr w:rsidR="00367AFF" w:rsidRPr="003E44EB" w:rsidTr="00367AFF">
        <w:trPr>
          <w:trHeight w:val="31"/>
        </w:trPr>
        <w:tc>
          <w:tcPr>
            <w:tcW w:w="5592"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76"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13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992" w:type="dxa"/>
            <w:tcBorders>
              <w:top w:val="nil"/>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240" w:lineRule="auto"/>
              <w:rPr>
                <w:rFonts w:ascii="Arial" w:hAnsi="Arial" w:cs="Arial"/>
                <w:i/>
                <w:sz w:val="20"/>
                <w:szCs w:val="20"/>
              </w:rPr>
            </w:pPr>
          </w:p>
        </w:tc>
      </w:tr>
      <w:tr w:rsidR="00367AFF" w:rsidRPr="003E44EB" w:rsidTr="00367AFF">
        <w:trPr>
          <w:trHeight w:val="259"/>
        </w:trPr>
        <w:tc>
          <w:tcPr>
            <w:tcW w:w="5592" w:type="dxa"/>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Diluted average number of</w:t>
            </w:r>
          </w:p>
        </w:tc>
        <w:tc>
          <w:tcPr>
            <w:tcW w:w="1276" w:type="dxa"/>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nil"/>
              <w:bottom w:val="nil"/>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auto"/>
              <w:left w:val="nil"/>
              <w:bottom w:val="nil"/>
              <w:right w:val="nil"/>
            </w:tcBorders>
            <w:vAlign w:val="bottom"/>
          </w:tcPr>
          <w:p w:rsidR="00367AFF" w:rsidRPr="003E44EB" w:rsidRDefault="00367AFF" w:rsidP="00367AFF">
            <w:pPr>
              <w:widowControl w:val="0"/>
              <w:autoSpaceDE w:val="0"/>
              <w:autoSpaceDN w:val="0"/>
              <w:adjustRightInd w:val="0"/>
              <w:spacing w:after="0" w:line="240" w:lineRule="auto"/>
              <w:rPr>
                <w:rFonts w:ascii="Arial" w:hAnsi="Arial" w:cs="Arial"/>
                <w:i/>
                <w:sz w:val="20"/>
                <w:szCs w:val="20"/>
              </w:rPr>
            </w:pPr>
          </w:p>
        </w:tc>
      </w:tr>
      <w:tr w:rsidR="00367AFF" w:rsidRPr="003E44EB" w:rsidTr="00367AFF">
        <w:trPr>
          <w:trHeight w:val="200"/>
        </w:trPr>
        <w:tc>
          <w:tcPr>
            <w:tcW w:w="5592"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shares in issue (thousands)</w:t>
            </w:r>
          </w:p>
        </w:tc>
        <w:tc>
          <w:tcPr>
            <w:tcW w:w="1276"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12,461</w:t>
            </w:r>
          </w:p>
        </w:tc>
        <w:tc>
          <w:tcPr>
            <w:tcW w:w="1134" w:type="dxa"/>
            <w:tcBorders>
              <w:top w:val="nil"/>
              <w:left w:val="nil"/>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11,704</w:t>
            </w:r>
          </w:p>
        </w:tc>
        <w:tc>
          <w:tcPr>
            <w:tcW w:w="992" w:type="dxa"/>
            <w:tcBorders>
              <w:top w:val="nil"/>
              <w:left w:val="nil"/>
              <w:right w:val="nil"/>
            </w:tcBorders>
            <w:vAlign w:val="bottom"/>
          </w:tcPr>
          <w:p w:rsidR="00367AFF" w:rsidRPr="003E44EB" w:rsidRDefault="00367AFF" w:rsidP="00367AFF">
            <w:pPr>
              <w:widowControl w:val="0"/>
              <w:autoSpaceDE w:val="0"/>
              <w:autoSpaceDN w:val="0"/>
              <w:adjustRightInd w:val="0"/>
              <w:spacing w:after="0" w:line="240" w:lineRule="auto"/>
              <w:ind w:right="25"/>
              <w:jc w:val="right"/>
              <w:rPr>
                <w:rFonts w:ascii="Arial" w:hAnsi="Arial" w:cs="Arial"/>
                <w:i/>
                <w:sz w:val="20"/>
                <w:szCs w:val="20"/>
              </w:rPr>
            </w:pPr>
            <w:r w:rsidRPr="00F90DE7">
              <w:rPr>
                <w:rFonts w:ascii="Arial" w:hAnsi="Arial" w:cs="Arial"/>
                <w:i/>
                <w:iCs/>
                <w:sz w:val="20"/>
                <w:szCs w:val="20"/>
              </w:rPr>
              <w:t>6.5</w:t>
            </w:r>
          </w:p>
        </w:tc>
      </w:tr>
      <w:tr w:rsidR="00367AFF" w:rsidRPr="003E44EB" w:rsidTr="00367AFF">
        <w:trPr>
          <w:trHeight w:val="31"/>
        </w:trPr>
        <w:tc>
          <w:tcPr>
            <w:tcW w:w="5592"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76"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13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992" w:type="dxa"/>
            <w:tcBorders>
              <w:top w:val="nil"/>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240" w:lineRule="auto"/>
              <w:rPr>
                <w:rFonts w:ascii="Arial" w:hAnsi="Arial" w:cs="Arial"/>
                <w:i/>
                <w:sz w:val="20"/>
                <w:szCs w:val="20"/>
              </w:rPr>
            </w:pPr>
          </w:p>
        </w:tc>
      </w:tr>
      <w:tr w:rsidR="00367AFF" w:rsidRPr="003E44EB" w:rsidTr="00367AFF">
        <w:trPr>
          <w:trHeight w:val="261"/>
        </w:trPr>
        <w:tc>
          <w:tcPr>
            <w:tcW w:w="5592" w:type="dxa"/>
            <w:tcBorders>
              <w:top w:val="single" w:sz="4" w:space="0" w:color="auto"/>
              <w:left w:val="nil"/>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 xml:space="preserve">Effective </w:t>
            </w:r>
            <w:r>
              <w:rPr>
                <w:rFonts w:ascii="Arial" w:hAnsi="Arial" w:cs="Arial"/>
                <w:sz w:val="20"/>
                <w:szCs w:val="20"/>
              </w:rPr>
              <w:t xml:space="preserve">underlying </w:t>
            </w:r>
            <w:r w:rsidRPr="009306D1">
              <w:rPr>
                <w:rFonts w:ascii="Arial" w:hAnsi="Arial" w:cs="Arial"/>
                <w:sz w:val="20"/>
                <w:szCs w:val="20"/>
              </w:rPr>
              <w:t>tax rate</w:t>
            </w:r>
          </w:p>
        </w:tc>
        <w:tc>
          <w:tcPr>
            <w:tcW w:w="1276" w:type="dxa"/>
            <w:tcBorders>
              <w:top w:val="single" w:sz="4" w:space="0" w:color="auto"/>
              <w:left w:val="nil"/>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24.7%</w:t>
            </w:r>
          </w:p>
        </w:tc>
        <w:tc>
          <w:tcPr>
            <w:tcW w:w="1134" w:type="dxa"/>
            <w:tcBorders>
              <w:top w:val="single" w:sz="4" w:space="0" w:color="auto"/>
              <w:left w:val="nil"/>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24.2%</w:t>
            </w:r>
          </w:p>
        </w:tc>
        <w:tc>
          <w:tcPr>
            <w:tcW w:w="992" w:type="dxa"/>
            <w:tcBorders>
              <w:top w:val="single" w:sz="4" w:space="0" w:color="auto"/>
              <w:left w:val="nil"/>
              <w:right w:val="nil"/>
            </w:tcBorders>
            <w:vAlign w:val="bottom"/>
          </w:tcPr>
          <w:p w:rsidR="00367AFF" w:rsidRPr="003E44EB" w:rsidRDefault="00367AFF" w:rsidP="00367AFF">
            <w:pPr>
              <w:widowControl w:val="0"/>
              <w:autoSpaceDE w:val="0"/>
              <w:autoSpaceDN w:val="0"/>
              <w:adjustRightInd w:val="0"/>
              <w:spacing w:after="0" w:line="240" w:lineRule="auto"/>
              <w:jc w:val="right"/>
              <w:rPr>
                <w:rFonts w:ascii="Arial" w:hAnsi="Arial" w:cs="Arial"/>
                <w:i/>
                <w:sz w:val="20"/>
                <w:szCs w:val="20"/>
              </w:rPr>
            </w:pPr>
            <w:r w:rsidRPr="00F90DE7">
              <w:rPr>
                <w:rFonts w:ascii="Arial" w:hAnsi="Arial" w:cs="Arial"/>
                <w:i/>
                <w:iCs/>
                <w:sz w:val="20"/>
                <w:szCs w:val="20"/>
              </w:rPr>
              <w:t>2.1</w:t>
            </w:r>
          </w:p>
        </w:tc>
      </w:tr>
      <w:tr w:rsidR="00367AFF" w:rsidRPr="003E44EB" w:rsidTr="00367AFF">
        <w:trPr>
          <w:trHeight w:val="31"/>
        </w:trPr>
        <w:tc>
          <w:tcPr>
            <w:tcW w:w="5592"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276"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1134" w:type="dxa"/>
            <w:tcBorders>
              <w:top w:val="nil"/>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rPr>
                <w:rFonts w:ascii="Arial" w:hAnsi="Arial" w:cs="Arial"/>
                <w:sz w:val="20"/>
                <w:szCs w:val="20"/>
              </w:rPr>
            </w:pPr>
          </w:p>
        </w:tc>
        <w:tc>
          <w:tcPr>
            <w:tcW w:w="992" w:type="dxa"/>
            <w:tcBorders>
              <w:top w:val="nil"/>
              <w:left w:val="nil"/>
              <w:bottom w:val="single" w:sz="4" w:space="0" w:color="auto"/>
              <w:right w:val="nil"/>
            </w:tcBorders>
            <w:vAlign w:val="bottom"/>
          </w:tcPr>
          <w:p w:rsidR="00367AFF" w:rsidRPr="003E44EB" w:rsidRDefault="00367AFF" w:rsidP="00367AFF">
            <w:pPr>
              <w:widowControl w:val="0"/>
              <w:autoSpaceDE w:val="0"/>
              <w:autoSpaceDN w:val="0"/>
              <w:adjustRightInd w:val="0"/>
              <w:spacing w:after="0" w:line="240" w:lineRule="auto"/>
              <w:rPr>
                <w:rFonts w:ascii="Arial" w:hAnsi="Arial" w:cs="Arial"/>
                <w:i/>
                <w:sz w:val="20"/>
                <w:szCs w:val="20"/>
              </w:rPr>
            </w:pPr>
          </w:p>
        </w:tc>
      </w:tr>
      <w:tr w:rsidR="00367AFF" w:rsidRPr="003E44EB" w:rsidTr="00367AFF">
        <w:trPr>
          <w:trHeight w:val="292"/>
        </w:trPr>
        <w:tc>
          <w:tcPr>
            <w:tcW w:w="5592" w:type="dxa"/>
            <w:tcBorders>
              <w:top w:val="single" w:sz="4" w:space="0" w:color="auto"/>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ind w:left="20"/>
              <w:rPr>
                <w:rFonts w:ascii="Arial" w:hAnsi="Arial" w:cs="Arial"/>
                <w:sz w:val="20"/>
                <w:szCs w:val="20"/>
              </w:rPr>
            </w:pPr>
            <w:r w:rsidRPr="009306D1">
              <w:rPr>
                <w:rFonts w:ascii="Arial" w:hAnsi="Arial" w:cs="Arial"/>
                <w:sz w:val="20"/>
                <w:szCs w:val="20"/>
              </w:rPr>
              <w:t>Diluted EPS</w:t>
            </w:r>
            <w:r>
              <w:rPr>
                <w:rFonts w:ascii="Arial" w:hAnsi="Arial" w:cs="Arial"/>
                <w:sz w:val="20"/>
                <w:szCs w:val="20"/>
              </w:rPr>
              <w:t xml:space="preserve"> on underlying profit</w:t>
            </w:r>
          </w:p>
        </w:tc>
        <w:tc>
          <w:tcPr>
            <w:tcW w:w="1276" w:type="dxa"/>
            <w:tcBorders>
              <w:top w:val="single" w:sz="4" w:space="0" w:color="auto"/>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22.0</w:t>
            </w:r>
            <w:r w:rsidRPr="009306D1">
              <w:rPr>
                <w:rFonts w:ascii="Arial" w:hAnsi="Arial" w:cs="Arial"/>
                <w:sz w:val="20"/>
                <w:szCs w:val="20"/>
              </w:rPr>
              <w:t>p</w:t>
            </w:r>
          </w:p>
        </w:tc>
        <w:tc>
          <w:tcPr>
            <w:tcW w:w="1134" w:type="dxa"/>
            <w:tcBorders>
              <w:top w:val="single" w:sz="4" w:space="0" w:color="auto"/>
              <w:left w:val="nil"/>
              <w:bottom w:val="single" w:sz="4" w:space="0" w:color="auto"/>
              <w:right w:val="nil"/>
            </w:tcBorders>
            <w:vAlign w:val="bottom"/>
          </w:tcPr>
          <w:p w:rsidR="00367AFF" w:rsidRPr="009306D1" w:rsidRDefault="00367AFF" w:rsidP="00367AFF">
            <w:pPr>
              <w:widowControl w:val="0"/>
              <w:autoSpaceDE w:val="0"/>
              <w:autoSpaceDN w:val="0"/>
              <w:adjustRightInd w:val="0"/>
              <w:spacing w:after="0" w:line="240" w:lineRule="auto"/>
              <w:ind w:right="85"/>
              <w:jc w:val="right"/>
              <w:rPr>
                <w:rFonts w:ascii="Arial" w:hAnsi="Arial" w:cs="Arial"/>
                <w:sz w:val="20"/>
                <w:szCs w:val="20"/>
              </w:rPr>
            </w:pPr>
            <w:r>
              <w:rPr>
                <w:rFonts w:ascii="Arial" w:hAnsi="Arial" w:cs="Arial"/>
                <w:sz w:val="20"/>
                <w:szCs w:val="20"/>
              </w:rPr>
              <w:t>21.3</w:t>
            </w:r>
            <w:r w:rsidRPr="009306D1">
              <w:rPr>
                <w:rFonts w:ascii="Arial" w:hAnsi="Arial" w:cs="Arial"/>
                <w:sz w:val="20"/>
                <w:szCs w:val="20"/>
              </w:rPr>
              <w:t>p</w:t>
            </w:r>
          </w:p>
        </w:tc>
        <w:tc>
          <w:tcPr>
            <w:tcW w:w="992" w:type="dxa"/>
            <w:tcBorders>
              <w:top w:val="single" w:sz="4" w:space="0" w:color="auto"/>
              <w:left w:val="nil"/>
              <w:bottom w:val="single" w:sz="4" w:space="0" w:color="auto"/>
              <w:right w:val="nil"/>
            </w:tcBorders>
            <w:vAlign w:val="bottom"/>
          </w:tcPr>
          <w:p w:rsidR="00367AFF" w:rsidRPr="00D3168A" w:rsidRDefault="00367AFF" w:rsidP="00367AFF">
            <w:pPr>
              <w:widowControl w:val="0"/>
              <w:autoSpaceDE w:val="0"/>
              <w:autoSpaceDN w:val="0"/>
              <w:adjustRightInd w:val="0"/>
              <w:spacing w:after="0" w:line="240" w:lineRule="auto"/>
              <w:ind w:right="25"/>
              <w:jc w:val="right"/>
              <w:rPr>
                <w:rFonts w:ascii="Arial" w:hAnsi="Arial" w:cs="Arial"/>
                <w:i/>
                <w:sz w:val="20"/>
                <w:szCs w:val="20"/>
              </w:rPr>
            </w:pPr>
            <w:r w:rsidRPr="00F90DE7">
              <w:rPr>
                <w:rFonts w:ascii="Arial" w:hAnsi="Arial" w:cs="Arial"/>
                <w:i/>
                <w:iCs/>
                <w:sz w:val="20"/>
                <w:szCs w:val="20"/>
              </w:rPr>
              <w:t>3.3</w:t>
            </w:r>
          </w:p>
        </w:tc>
      </w:tr>
    </w:tbl>
    <w:p w:rsidR="00367AFF" w:rsidRDefault="00367AFF" w:rsidP="00367AFF">
      <w:pPr>
        <w:widowControl w:val="0"/>
        <w:overflowPunct w:val="0"/>
        <w:autoSpaceDE w:val="0"/>
        <w:autoSpaceDN w:val="0"/>
        <w:adjustRightInd w:val="0"/>
        <w:spacing w:after="0" w:line="240" w:lineRule="auto"/>
        <w:jc w:val="both"/>
        <w:rPr>
          <w:rFonts w:ascii="Arial" w:hAnsi="Arial" w:cs="Arial"/>
          <w:b/>
          <w:sz w:val="20"/>
          <w:szCs w:val="20"/>
        </w:rPr>
      </w:pP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8A383B">
        <w:rPr>
          <w:rFonts w:ascii="Arial" w:hAnsi="Arial" w:cs="Arial"/>
          <w:sz w:val="20"/>
          <w:szCs w:val="20"/>
        </w:rPr>
        <w:t>Fully diluted Earnings per Share (“EPS”) der</w:t>
      </w:r>
      <w:r>
        <w:rPr>
          <w:rFonts w:ascii="Arial" w:hAnsi="Arial" w:cs="Arial"/>
          <w:sz w:val="20"/>
          <w:szCs w:val="20"/>
        </w:rPr>
        <w:t>ived from underlying profits, increased by 3.3% to 22.0</w:t>
      </w:r>
      <w:r w:rsidRPr="008A383B">
        <w:rPr>
          <w:rFonts w:ascii="Arial" w:hAnsi="Arial" w:cs="Arial"/>
          <w:sz w:val="20"/>
          <w:szCs w:val="20"/>
        </w:rPr>
        <w:t xml:space="preserve">p </w:t>
      </w:r>
      <w:r>
        <w:rPr>
          <w:rFonts w:ascii="Arial" w:hAnsi="Arial" w:cs="Arial"/>
          <w:i/>
          <w:iCs/>
          <w:sz w:val="20"/>
          <w:szCs w:val="20"/>
        </w:rPr>
        <w:t>(2013</w:t>
      </w:r>
      <w:r w:rsidRPr="008A383B">
        <w:rPr>
          <w:rFonts w:ascii="Arial" w:hAnsi="Arial" w:cs="Arial"/>
          <w:i/>
          <w:iCs/>
          <w:sz w:val="20"/>
          <w:szCs w:val="20"/>
        </w:rPr>
        <w:t>:</w:t>
      </w:r>
      <w:r w:rsidRPr="008A383B">
        <w:rPr>
          <w:rFonts w:ascii="Arial" w:hAnsi="Arial" w:cs="Arial"/>
          <w:sz w:val="20"/>
          <w:szCs w:val="20"/>
        </w:rPr>
        <w:t xml:space="preserve"> </w:t>
      </w:r>
      <w:r>
        <w:rPr>
          <w:rFonts w:ascii="Arial" w:hAnsi="Arial" w:cs="Arial"/>
          <w:i/>
          <w:iCs/>
          <w:sz w:val="20"/>
          <w:szCs w:val="20"/>
        </w:rPr>
        <w:t>21.3</w:t>
      </w:r>
      <w:r w:rsidRPr="008A383B">
        <w:rPr>
          <w:rFonts w:ascii="Arial" w:hAnsi="Arial" w:cs="Arial"/>
          <w:i/>
          <w:iCs/>
          <w:sz w:val="20"/>
          <w:szCs w:val="20"/>
        </w:rPr>
        <w:t>p</w:t>
      </w:r>
      <w:r>
        <w:rPr>
          <w:rFonts w:ascii="Arial" w:hAnsi="Arial" w:cs="Arial"/>
          <w:i/>
          <w:iCs/>
          <w:sz w:val="20"/>
          <w:szCs w:val="20"/>
        </w:rPr>
        <w:t>)</w:t>
      </w:r>
      <w:r>
        <w:rPr>
          <w:rFonts w:ascii="Arial" w:hAnsi="Arial" w:cs="Arial"/>
          <w:sz w:val="20"/>
          <w:szCs w:val="20"/>
        </w:rPr>
        <w:t>, t</w:t>
      </w:r>
      <w:r w:rsidRPr="008A383B">
        <w:rPr>
          <w:rFonts w:ascii="Arial" w:hAnsi="Arial" w:cs="Arial"/>
          <w:sz w:val="20"/>
          <w:szCs w:val="20"/>
        </w:rPr>
        <w:t>h</w:t>
      </w:r>
      <w:r>
        <w:rPr>
          <w:rFonts w:ascii="Arial" w:hAnsi="Arial" w:cs="Arial"/>
          <w:sz w:val="20"/>
          <w:szCs w:val="20"/>
        </w:rPr>
        <w:t>is was after a 6.</w:t>
      </w:r>
      <w:r w:rsidR="00DA414F">
        <w:rPr>
          <w:rFonts w:ascii="Arial" w:hAnsi="Arial" w:cs="Arial"/>
          <w:sz w:val="20"/>
          <w:szCs w:val="20"/>
        </w:rPr>
        <w:t>5</w:t>
      </w:r>
      <w:r>
        <w:rPr>
          <w:rFonts w:ascii="Arial" w:hAnsi="Arial" w:cs="Arial"/>
          <w:sz w:val="20"/>
          <w:szCs w:val="20"/>
        </w:rPr>
        <w:t>% increase in the diluted average number of shares, following the 33% increase in the share capital of the Company in July 2012.</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r w:rsidRPr="008A383B">
        <w:rPr>
          <w:rFonts w:ascii="Arial" w:hAnsi="Arial" w:cs="Arial"/>
          <w:b/>
          <w:bCs/>
          <w:sz w:val="20"/>
          <w:szCs w:val="20"/>
        </w:rPr>
        <w:t>Balance sheet</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8A383B">
        <w:rPr>
          <w:rFonts w:ascii="Arial" w:hAnsi="Arial" w:cs="Arial"/>
          <w:sz w:val="20"/>
          <w:szCs w:val="20"/>
        </w:rPr>
        <w:t>The Group’s Balance Sheet rem</w:t>
      </w:r>
      <w:r>
        <w:rPr>
          <w:rFonts w:ascii="Arial" w:hAnsi="Arial" w:cs="Arial"/>
          <w:sz w:val="20"/>
          <w:szCs w:val="20"/>
        </w:rPr>
        <w:t>ains strong. Total net assets increased to £35.4 million from £34.3</w:t>
      </w:r>
      <w:r w:rsidRPr="008A383B">
        <w:rPr>
          <w:rFonts w:ascii="Arial" w:hAnsi="Arial" w:cs="Arial"/>
          <w:sz w:val="20"/>
          <w:szCs w:val="20"/>
        </w:rPr>
        <w:t xml:space="preserve"> mi</w:t>
      </w:r>
      <w:r>
        <w:rPr>
          <w:rFonts w:ascii="Arial" w:hAnsi="Arial" w:cs="Arial"/>
          <w:sz w:val="20"/>
          <w:szCs w:val="20"/>
        </w:rPr>
        <w:t>llion in the prior year, despite a £0.1 million fall in the</w:t>
      </w:r>
      <w:r w:rsidRPr="008A383B">
        <w:rPr>
          <w:rFonts w:ascii="Arial" w:hAnsi="Arial" w:cs="Arial"/>
          <w:sz w:val="20"/>
          <w:szCs w:val="20"/>
        </w:rPr>
        <w:t xml:space="preserve"> market value of</w:t>
      </w:r>
      <w:r>
        <w:rPr>
          <w:rFonts w:ascii="Arial" w:hAnsi="Arial" w:cs="Arial"/>
          <w:sz w:val="20"/>
          <w:szCs w:val="20"/>
        </w:rPr>
        <w:t xml:space="preserve"> the Group’s investment in FOGL as the share price fell slightly from 26.5 pence to 25.5 pence.  </w:t>
      </w:r>
      <w:r w:rsidRPr="008A383B">
        <w:rPr>
          <w:rFonts w:ascii="Arial" w:hAnsi="Arial" w:cs="Arial"/>
          <w:sz w:val="20"/>
          <w:szCs w:val="20"/>
        </w:rPr>
        <w:t xml:space="preserve"> </w:t>
      </w:r>
    </w:p>
    <w:p w:rsidR="00367AFF" w:rsidRDefault="00367AFF" w:rsidP="00367AFF">
      <w:pPr>
        <w:widowControl w:val="0"/>
        <w:overflowPunct w:val="0"/>
        <w:autoSpaceDE w:val="0"/>
        <w:autoSpaceDN w:val="0"/>
        <w:adjustRightInd w:val="0"/>
        <w:spacing w:after="0" w:line="240" w:lineRule="auto"/>
        <w:jc w:val="both"/>
        <w:rPr>
          <w:rFonts w:ascii="Arial" w:hAnsi="Arial" w:cs="Arial"/>
          <w:sz w:val="20"/>
          <w:szCs w:val="20"/>
        </w:rPr>
      </w:pP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w:t>
      </w:r>
      <w:r w:rsidRPr="008A383B">
        <w:rPr>
          <w:rFonts w:ascii="Arial" w:hAnsi="Arial" w:cs="Arial"/>
          <w:sz w:val="20"/>
          <w:szCs w:val="20"/>
        </w:rPr>
        <w:t>etained earnings after the payment of tax</w:t>
      </w:r>
      <w:r>
        <w:rPr>
          <w:rFonts w:ascii="Arial" w:hAnsi="Arial" w:cs="Arial"/>
          <w:sz w:val="20"/>
          <w:szCs w:val="20"/>
        </w:rPr>
        <w:t xml:space="preserve"> and dividends increased by £0.</w:t>
      </w:r>
      <w:r w:rsidR="00E32341">
        <w:rPr>
          <w:rFonts w:ascii="Arial" w:hAnsi="Arial" w:cs="Arial"/>
          <w:sz w:val="20"/>
          <w:szCs w:val="20"/>
        </w:rPr>
        <w:t>2</w:t>
      </w:r>
      <w:r>
        <w:rPr>
          <w:rFonts w:ascii="Arial" w:hAnsi="Arial" w:cs="Arial"/>
          <w:sz w:val="20"/>
          <w:szCs w:val="20"/>
        </w:rPr>
        <w:t xml:space="preserve"> million to £14.8</w:t>
      </w:r>
      <w:r w:rsidRPr="008A383B">
        <w:rPr>
          <w:rFonts w:ascii="Arial" w:hAnsi="Arial" w:cs="Arial"/>
          <w:sz w:val="20"/>
          <w:szCs w:val="20"/>
        </w:rPr>
        <w:t xml:space="preserve"> million </w:t>
      </w:r>
      <w:r>
        <w:rPr>
          <w:rFonts w:ascii="Arial" w:hAnsi="Arial" w:cs="Arial"/>
          <w:i/>
          <w:iCs/>
          <w:sz w:val="20"/>
          <w:szCs w:val="20"/>
        </w:rPr>
        <w:t>(2013: £13.6</w:t>
      </w:r>
      <w:r w:rsidRPr="008A383B">
        <w:rPr>
          <w:rFonts w:ascii="Arial" w:hAnsi="Arial" w:cs="Arial"/>
          <w:i/>
          <w:iCs/>
          <w:sz w:val="20"/>
          <w:szCs w:val="20"/>
        </w:rPr>
        <w:t xml:space="preserve"> million)</w:t>
      </w:r>
      <w:r>
        <w:rPr>
          <w:rFonts w:ascii="Arial" w:hAnsi="Arial" w:cs="Arial"/>
          <w:sz w:val="20"/>
          <w:szCs w:val="20"/>
        </w:rPr>
        <w:t>. Bank borrowings were reduced to £1</w:t>
      </w:r>
      <w:r w:rsidRPr="008A383B">
        <w:rPr>
          <w:rFonts w:ascii="Arial" w:hAnsi="Arial" w:cs="Arial"/>
          <w:sz w:val="20"/>
          <w:szCs w:val="20"/>
        </w:rPr>
        <w:t>.0</w:t>
      </w:r>
      <w:r w:rsidRPr="008A383B">
        <w:rPr>
          <w:rFonts w:ascii="Arial" w:hAnsi="Arial" w:cs="Arial"/>
          <w:i/>
          <w:iCs/>
          <w:sz w:val="20"/>
          <w:szCs w:val="20"/>
        </w:rPr>
        <w:t xml:space="preserve"> </w:t>
      </w:r>
      <w:r w:rsidRPr="008A383B">
        <w:rPr>
          <w:rFonts w:ascii="Arial" w:hAnsi="Arial" w:cs="Arial"/>
          <w:sz w:val="20"/>
          <w:szCs w:val="20"/>
        </w:rPr>
        <w:t xml:space="preserve">million </w:t>
      </w:r>
      <w:r>
        <w:rPr>
          <w:rFonts w:ascii="Arial" w:hAnsi="Arial" w:cs="Arial"/>
          <w:i/>
          <w:iCs/>
          <w:sz w:val="20"/>
          <w:szCs w:val="20"/>
        </w:rPr>
        <w:t>(2013: £2</w:t>
      </w:r>
      <w:r w:rsidRPr="008A383B">
        <w:rPr>
          <w:rFonts w:ascii="Arial" w:hAnsi="Arial" w:cs="Arial"/>
          <w:i/>
          <w:iCs/>
          <w:sz w:val="20"/>
          <w:szCs w:val="20"/>
        </w:rPr>
        <w:t>.0 million)</w:t>
      </w:r>
      <w:r w:rsidRPr="008A383B">
        <w:rPr>
          <w:rFonts w:ascii="Arial" w:hAnsi="Arial" w:cs="Arial"/>
          <w:sz w:val="20"/>
          <w:szCs w:val="20"/>
        </w:rPr>
        <w:t xml:space="preserve"> and the Gr</w:t>
      </w:r>
      <w:r>
        <w:rPr>
          <w:rFonts w:ascii="Arial" w:hAnsi="Arial" w:cs="Arial"/>
          <w:sz w:val="20"/>
          <w:szCs w:val="20"/>
        </w:rPr>
        <w:t>oup had cash balances of £5.7</w:t>
      </w:r>
      <w:r w:rsidRPr="008A383B">
        <w:rPr>
          <w:rFonts w:ascii="Arial" w:hAnsi="Arial" w:cs="Arial"/>
          <w:sz w:val="20"/>
          <w:szCs w:val="20"/>
        </w:rPr>
        <w:t xml:space="preserve"> million </w:t>
      </w:r>
      <w:r>
        <w:rPr>
          <w:rFonts w:ascii="Arial" w:hAnsi="Arial" w:cs="Arial"/>
          <w:i/>
          <w:iCs/>
          <w:sz w:val="20"/>
          <w:szCs w:val="20"/>
        </w:rPr>
        <w:t>(2013: £11.4</w:t>
      </w:r>
      <w:r w:rsidRPr="008A383B">
        <w:rPr>
          <w:rFonts w:ascii="Arial" w:hAnsi="Arial" w:cs="Arial"/>
          <w:i/>
          <w:iCs/>
          <w:sz w:val="20"/>
          <w:szCs w:val="20"/>
        </w:rPr>
        <w:t xml:space="preserve"> million)</w:t>
      </w:r>
      <w:r w:rsidRPr="008A383B">
        <w:rPr>
          <w:rFonts w:ascii="Arial" w:hAnsi="Arial" w:cs="Arial"/>
          <w:sz w:val="20"/>
          <w:szCs w:val="20"/>
        </w:rPr>
        <w:t>.</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Pr="0017001C" w:rsidRDefault="00367AFF" w:rsidP="00367AFF">
      <w:pPr>
        <w:widowControl w:val="0"/>
        <w:autoSpaceDE w:val="0"/>
        <w:autoSpaceDN w:val="0"/>
        <w:adjustRightInd w:val="0"/>
        <w:spacing w:after="0" w:line="240" w:lineRule="auto"/>
        <w:rPr>
          <w:rFonts w:ascii="Arial" w:hAnsi="Arial" w:cs="Arial"/>
          <w:sz w:val="20"/>
          <w:szCs w:val="20"/>
        </w:rPr>
      </w:pPr>
      <w:r w:rsidRPr="008A383B">
        <w:rPr>
          <w:rFonts w:ascii="Arial" w:hAnsi="Arial" w:cs="Arial"/>
          <w:sz w:val="20"/>
          <w:szCs w:val="20"/>
        </w:rPr>
        <w:t xml:space="preserve">The carrying value of intangible assets was </w:t>
      </w:r>
      <w:r w:rsidR="00E32341">
        <w:rPr>
          <w:rFonts w:ascii="Arial" w:hAnsi="Arial" w:cs="Arial"/>
          <w:sz w:val="20"/>
          <w:szCs w:val="20"/>
        </w:rPr>
        <w:t>reduced</w:t>
      </w:r>
      <w:r w:rsidR="001C1AA7">
        <w:rPr>
          <w:rFonts w:ascii="Arial" w:hAnsi="Arial" w:cs="Arial"/>
          <w:sz w:val="20"/>
          <w:szCs w:val="20"/>
        </w:rPr>
        <w:t xml:space="preserve"> by</w:t>
      </w:r>
      <w:r w:rsidR="00E32341">
        <w:rPr>
          <w:rFonts w:ascii="Arial" w:hAnsi="Arial" w:cs="Arial"/>
          <w:sz w:val="20"/>
          <w:szCs w:val="20"/>
        </w:rPr>
        <w:t xml:space="preserve"> £0.1 million to</w:t>
      </w:r>
      <w:r w:rsidR="0012471C">
        <w:rPr>
          <w:rFonts w:ascii="Arial" w:hAnsi="Arial" w:cs="Arial"/>
          <w:sz w:val="20"/>
          <w:szCs w:val="20"/>
        </w:rPr>
        <w:t xml:space="preserve"> </w:t>
      </w:r>
      <w:r>
        <w:rPr>
          <w:rFonts w:ascii="Arial" w:hAnsi="Arial" w:cs="Arial"/>
          <w:sz w:val="20"/>
          <w:szCs w:val="20"/>
        </w:rPr>
        <w:t>£12.</w:t>
      </w:r>
      <w:r w:rsidR="00E32341">
        <w:rPr>
          <w:rFonts w:ascii="Arial" w:hAnsi="Arial" w:cs="Arial"/>
          <w:sz w:val="20"/>
          <w:szCs w:val="20"/>
        </w:rPr>
        <w:t>2</w:t>
      </w:r>
      <w:r>
        <w:rPr>
          <w:rFonts w:ascii="Arial" w:hAnsi="Arial" w:cs="Arial"/>
          <w:sz w:val="20"/>
          <w:szCs w:val="20"/>
        </w:rPr>
        <w:t xml:space="preserve"> million </w:t>
      </w:r>
      <w:r>
        <w:rPr>
          <w:rFonts w:ascii="Arial" w:hAnsi="Arial" w:cs="Arial"/>
          <w:i/>
          <w:iCs/>
          <w:sz w:val="20"/>
          <w:szCs w:val="20"/>
        </w:rPr>
        <w:t>(2013: £12.3</w:t>
      </w:r>
      <w:r w:rsidRPr="008A383B">
        <w:rPr>
          <w:rFonts w:ascii="Arial" w:hAnsi="Arial" w:cs="Arial"/>
          <w:i/>
          <w:iCs/>
          <w:sz w:val="20"/>
          <w:szCs w:val="20"/>
        </w:rPr>
        <w:t xml:space="preserve"> million)</w:t>
      </w:r>
      <w:r w:rsidRPr="009758F2">
        <w:rPr>
          <w:rFonts w:ascii="Arial" w:hAnsi="Arial" w:cs="Arial"/>
          <w:sz w:val="20"/>
          <w:szCs w:val="20"/>
        </w:rPr>
        <w:t xml:space="preserve"> </w:t>
      </w:r>
      <w:r>
        <w:rPr>
          <w:rFonts w:ascii="Arial" w:hAnsi="Arial" w:cs="Arial"/>
          <w:sz w:val="20"/>
          <w:szCs w:val="20"/>
        </w:rPr>
        <w:t xml:space="preserve">due to the </w:t>
      </w:r>
      <w:r w:rsidRPr="008A383B">
        <w:rPr>
          <w:rFonts w:ascii="Arial" w:hAnsi="Arial" w:cs="Arial"/>
          <w:sz w:val="20"/>
          <w:szCs w:val="20"/>
        </w:rPr>
        <w:t xml:space="preserve">annual amortisation </w:t>
      </w:r>
      <w:r>
        <w:rPr>
          <w:rFonts w:ascii="Arial" w:hAnsi="Arial" w:cs="Arial"/>
          <w:sz w:val="20"/>
          <w:szCs w:val="20"/>
        </w:rPr>
        <w:t xml:space="preserve">charge of £0.3 million on the intangible assets arising on the 2008 acquisition of </w:t>
      </w:r>
      <w:proofErr w:type="spellStart"/>
      <w:r>
        <w:rPr>
          <w:rFonts w:ascii="Arial" w:hAnsi="Arial" w:cs="Arial"/>
          <w:sz w:val="20"/>
          <w:szCs w:val="20"/>
        </w:rPr>
        <w:t>Momart</w:t>
      </w:r>
      <w:proofErr w:type="spellEnd"/>
      <w:r>
        <w:rPr>
          <w:rFonts w:ascii="Arial" w:hAnsi="Arial" w:cs="Arial"/>
          <w:sz w:val="20"/>
          <w:szCs w:val="20"/>
        </w:rPr>
        <w:t xml:space="preserve">, </w:t>
      </w:r>
      <w:r w:rsidR="00E32341">
        <w:rPr>
          <w:rFonts w:ascii="Arial" w:hAnsi="Arial" w:cs="Arial"/>
          <w:sz w:val="20"/>
          <w:szCs w:val="20"/>
        </w:rPr>
        <w:t xml:space="preserve">and </w:t>
      </w:r>
      <w:r>
        <w:rPr>
          <w:rFonts w:ascii="Arial" w:hAnsi="Arial" w:cs="Arial"/>
          <w:sz w:val="20"/>
          <w:szCs w:val="20"/>
        </w:rPr>
        <w:t>a £0.</w:t>
      </w:r>
      <w:r w:rsidR="00E32341">
        <w:rPr>
          <w:rFonts w:ascii="Arial" w:hAnsi="Arial" w:cs="Arial"/>
          <w:sz w:val="20"/>
          <w:szCs w:val="20"/>
        </w:rPr>
        <w:t>1</w:t>
      </w:r>
      <w:r>
        <w:rPr>
          <w:rFonts w:ascii="Arial" w:hAnsi="Arial" w:cs="Arial"/>
          <w:sz w:val="20"/>
          <w:szCs w:val="20"/>
        </w:rPr>
        <w:t xml:space="preserve"> million amortisation charge for computer software, offset by a £0.</w:t>
      </w:r>
      <w:r w:rsidR="00E32341">
        <w:rPr>
          <w:rFonts w:ascii="Arial" w:hAnsi="Arial" w:cs="Arial"/>
          <w:sz w:val="20"/>
          <w:szCs w:val="20"/>
        </w:rPr>
        <w:t>3</w:t>
      </w:r>
      <w:r>
        <w:rPr>
          <w:rFonts w:ascii="Arial" w:hAnsi="Arial" w:cs="Arial"/>
          <w:sz w:val="20"/>
          <w:szCs w:val="20"/>
        </w:rPr>
        <w:t xml:space="preserve"> million transfer from plant and machinery</w:t>
      </w:r>
      <w:r w:rsidR="00305E47">
        <w:rPr>
          <w:rFonts w:ascii="Arial" w:hAnsi="Arial" w:cs="Arial"/>
          <w:sz w:val="20"/>
          <w:szCs w:val="20"/>
        </w:rPr>
        <w:t>.</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8A383B">
        <w:rPr>
          <w:rFonts w:ascii="Arial" w:hAnsi="Arial" w:cs="Arial"/>
          <w:sz w:val="20"/>
          <w:szCs w:val="20"/>
        </w:rPr>
        <w:t>The net book value of property, plant</w:t>
      </w:r>
      <w:r>
        <w:rPr>
          <w:rFonts w:ascii="Arial" w:hAnsi="Arial" w:cs="Arial"/>
          <w:sz w:val="20"/>
          <w:szCs w:val="20"/>
        </w:rPr>
        <w:t xml:space="preserve"> and equipment increased by £2.9 million to £16.6</w:t>
      </w:r>
      <w:r w:rsidRPr="008A383B">
        <w:rPr>
          <w:rFonts w:ascii="Arial" w:hAnsi="Arial" w:cs="Arial"/>
          <w:sz w:val="20"/>
          <w:szCs w:val="20"/>
        </w:rPr>
        <w:t xml:space="preserve"> million </w:t>
      </w:r>
      <w:r>
        <w:rPr>
          <w:rFonts w:ascii="Arial" w:hAnsi="Arial" w:cs="Arial"/>
          <w:i/>
          <w:iCs/>
          <w:sz w:val="20"/>
          <w:szCs w:val="20"/>
        </w:rPr>
        <w:t>(2013</w:t>
      </w:r>
      <w:r w:rsidRPr="008A383B">
        <w:rPr>
          <w:rFonts w:ascii="Arial" w:hAnsi="Arial" w:cs="Arial"/>
          <w:i/>
          <w:iCs/>
          <w:sz w:val="20"/>
          <w:szCs w:val="20"/>
        </w:rPr>
        <w:t>:</w:t>
      </w:r>
      <w:r w:rsidRPr="008A383B">
        <w:rPr>
          <w:rFonts w:ascii="Arial" w:hAnsi="Arial" w:cs="Arial"/>
          <w:sz w:val="20"/>
          <w:szCs w:val="20"/>
        </w:rPr>
        <w:t xml:space="preserve"> </w:t>
      </w:r>
      <w:r>
        <w:rPr>
          <w:rFonts w:ascii="Arial" w:hAnsi="Arial" w:cs="Arial"/>
          <w:i/>
          <w:iCs/>
          <w:sz w:val="20"/>
          <w:szCs w:val="20"/>
        </w:rPr>
        <w:t>£13.7</w:t>
      </w:r>
      <w:r w:rsidRPr="008A383B">
        <w:rPr>
          <w:rFonts w:ascii="Arial" w:hAnsi="Arial" w:cs="Arial"/>
          <w:i/>
          <w:iCs/>
          <w:sz w:val="20"/>
          <w:szCs w:val="20"/>
        </w:rPr>
        <w:t xml:space="preserve"> million) </w:t>
      </w:r>
      <w:r>
        <w:rPr>
          <w:rFonts w:ascii="Arial" w:hAnsi="Arial" w:cs="Arial"/>
          <w:sz w:val="20"/>
          <w:szCs w:val="20"/>
        </w:rPr>
        <w:t>after capital investment of £4.3</w:t>
      </w:r>
      <w:r w:rsidRPr="008A383B">
        <w:rPr>
          <w:rFonts w:ascii="Arial" w:hAnsi="Arial" w:cs="Arial"/>
          <w:sz w:val="20"/>
          <w:szCs w:val="20"/>
        </w:rPr>
        <w:t xml:space="preserve"> million,</w:t>
      </w:r>
      <w:r w:rsidRPr="008A383B">
        <w:rPr>
          <w:rFonts w:ascii="Arial" w:hAnsi="Arial" w:cs="Arial"/>
          <w:i/>
          <w:iCs/>
          <w:sz w:val="20"/>
          <w:szCs w:val="20"/>
        </w:rPr>
        <w:t xml:space="preserve"> </w:t>
      </w:r>
      <w:r>
        <w:rPr>
          <w:rFonts w:ascii="Arial" w:hAnsi="Arial" w:cs="Arial"/>
          <w:sz w:val="20"/>
          <w:szCs w:val="20"/>
        </w:rPr>
        <w:t>including £2.</w:t>
      </w:r>
      <w:r w:rsidR="00E32341">
        <w:rPr>
          <w:rFonts w:ascii="Arial" w:hAnsi="Arial" w:cs="Arial"/>
          <w:sz w:val="20"/>
          <w:szCs w:val="20"/>
        </w:rPr>
        <w:t>1</w:t>
      </w:r>
      <w:r w:rsidRPr="008A383B">
        <w:rPr>
          <w:rFonts w:ascii="Arial" w:hAnsi="Arial" w:cs="Arial"/>
          <w:sz w:val="20"/>
          <w:szCs w:val="20"/>
        </w:rPr>
        <w:t xml:space="preserve"> million </w:t>
      </w:r>
      <w:r>
        <w:rPr>
          <w:rFonts w:ascii="Arial" w:hAnsi="Arial" w:cs="Arial"/>
          <w:sz w:val="20"/>
          <w:szCs w:val="20"/>
        </w:rPr>
        <w:t>in the Falkland Islands</w:t>
      </w:r>
      <w:r w:rsidR="00305E47">
        <w:rPr>
          <w:rFonts w:ascii="Arial" w:hAnsi="Arial" w:cs="Arial"/>
          <w:sz w:val="20"/>
          <w:szCs w:val="20"/>
        </w:rPr>
        <w:t>.</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8A383B">
        <w:rPr>
          <w:rFonts w:ascii="Arial" w:hAnsi="Arial" w:cs="Arial"/>
          <w:sz w:val="20"/>
          <w:szCs w:val="20"/>
        </w:rPr>
        <w:t>The Group owns investment properties comprising commercial and residential properties in the Falkland Islands h</w:t>
      </w:r>
      <w:r>
        <w:rPr>
          <w:rFonts w:ascii="Arial" w:hAnsi="Arial" w:cs="Arial"/>
          <w:sz w:val="20"/>
          <w:szCs w:val="20"/>
        </w:rPr>
        <w:t>eld for rental, together with approximately</w:t>
      </w:r>
      <w:r w:rsidRPr="008A383B">
        <w:rPr>
          <w:rFonts w:ascii="Arial" w:hAnsi="Arial" w:cs="Arial"/>
          <w:sz w:val="20"/>
          <w:szCs w:val="20"/>
        </w:rPr>
        <w:t xml:space="preserve"> </w:t>
      </w:r>
      <w:r>
        <w:rPr>
          <w:rFonts w:ascii="Arial" w:hAnsi="Arial" w:cs="Arial"/>
          <w:sz w:val="20"/>
          <w:szCs w:val="20"/>
        </w:rPr>
        <w:t xml:space="preserve">400 </w:t>
      </w:r>
      <w:r w:rsidRPr="008A383B">
        <w:rPr>
          <w:rFonts w:ascii="Arial" w:hAnsi="Arial" w:cs="Arial"/>
          <w:sz w:val="20"/>
          <w:szCs w:val="20"/>
        </w:rPr>
        <w:t>acres</w:t>
      </w:r>
      <w:r>
        <w:rPr>
          <w:rFonts w:ascii="Arial" w:hAnsi="Arial" w:cs="Arial"/>
          <w:sz w:val="20"/>
          <w:szCs w:val="20"/>
        </w:rPr>
        <w:t xml:space="preserve"> in and around Stanley. This includes</w:t>
      </w:r>
      <w:r w:rsidRPr="000F5E24">
        <w:rPr>
          <w:rFonts w:ascii="Arial" w:hAnsi="Arial" w:cs="Arial"/>
          <w:sz w:val="20"/>
          <w:szCs w:val="20"/>
        </w:rPr>
        <w:t xml:space="preserve"> 18 acres for industrial development, 25 acres of prime mixed-use land and 300 acres </w:t>
      </w:r>
      <w:r>
        <w:rPr>
          <w:rFonts w:ascii="Arial" w:hAnsi="Arial" w:cs="Arial"/>
          <w:sz w:val="20"/>
          <w:szCs w:val="20"/>
        </w:rPr>
        <w:t xml:space="preserve">which is adjacent to the </w:t>
      </w:r>
      <w:r w:rsidR="00305E47">
        <w:rPr>
          <w:rFonts w:ascii="Arial" w:hAnsi="Arial" w:cs="Arial"/>
          <w:sz w:val="20"/>
          <w:szCs w:val="20"/>
        </w:rPr>
        <w:t xml:space="preserve">site </w:t>
      </w:r>
      <w:r>
        <w:rPr>
          <w:rFonts w:ascii="Arial" w:hAnsi="Arial" w:cs="Arial"/>
          <w:sz w:val="20"/>
          <w:szCs w:val="20"/>
        </w:rPr>
        <w:t xml:space="preserve">proposed </w:t>
      </w:r>
      <w:r w:rsidR="00305E47">
        <w:rPr>
          <w:rFonts w:ascii="Arial" w:hAnsi="Arial" w:cs="Arial"/>
          <w:sz w:val="20"/>
          <w:szCs w:val="20"/>
        </w:rPr>
        <w:t xml:space="preserve">for a </w:t>
      </w:r>
      <w:r>
        <w:rPr>
          <w:rFonts w:ascii="Arial" w:hAnsi="Arial" w:cs="Arial"/>
          <w:sz w:val="20"/>
          <w:szCs w:val="20"/>
        </w:rPr>
        <w:t>new</w:t>
      </w:r>
      <w:r w:rsidR="003C69E2">
        <w:rPr>
          <w:rFonts w:ascii="Arial" w:hAnsi="Arial" w:cs="Arial"/>
          <w:sz w:val="20"/>
          <w:szCs w:val="20"/>
        </w:rPr>
        <w:t xml:space="preserve"> port</w:t>
      </w:r>
      <w:r w:rsidRPr="000F5E24">
        <w:rPr>
          <w:rFonts w:ascii="Arial" w:hAnsi="Arial" w:cs="Arial"/>
          <w:sz w:val="20"/>
          <w:szCs w:val="20"/>
        </w:rPr>
        <w:t>.</w:t>
      </w:r>
      <w:r>
        <w:rPr>
          <w:rFonts w:ascii="Arial" w:hAnsi="Arial" w:cs="Arial"/>
          <w:sz w:val="20"/>
          <w:szCs w:val="20"/>
        </w:rPr>
        <w:t xml:space="preserve"> </w:t>
      </w:r>
    </w:p>
    <w:p w:rsidR="00797C10" w:rsidRDefault="00797C10" w:rsidP="00367AFF">
      <w:pPr>
        <w:widowControl w:val="0"/>
        <w:overflowPunct w:val="0"/>
        <w:autoSpaceDE w:val="0"/>
        <w:autoSpaceDN w:val="0"/>
        <w:adjustRightInd w:val="0"/>
        <w:spacing w:after="0" w:line="240" w:lineRule="auto"/>
        <w:jc w:val="both"/>
        <w:rPr>
          <w:rFonts w:ascii="Arial" w:hAnsi="Arial" w:cs="Arial"/>
          <w:sz w:val="20"/>
          <w:szCs w:val="20"/>
        </w:rPr>
      </w:pPr>
    </w:p>
    <w:p w:rsidR="00367AFF"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During the year, the net book value of investment property increased £0.6 million to £3.4 million </w:t>
      </w:r>
      <w:r>
        <w:rPr>
          <w:rFonts w:ascii="Arial" w:hAnsi="Arial" w:cs="Arial"/>
          <w:i/>
          <w:iCs/>
          <w:sz w:val="20"/>
          <w:szCs w:val="20"/>
        </w:rPr>
        <w:t>(2013: £2.8</w:t>
      </w:r>
      <w:r w:rsidRPr="008A383B">
        <w:rPr>
          <w:rFonts w:ascii="Arial" w:hAnsi="Arial" w:cs="Arial"/>
          <w:i/>
          <w:iCs/>
          <w:sz w:val="20"/>
          <w:szCs w:val="20"/>
        </w:rPr>
        <w:t xml:space="preserve"> million)</w:t>
      </w:r>
      <w:r w:rsidR="00797C10">
        <w:rPr>
          <w:rFonts w:ascii="Arial" w:hAnsi="Arial" w:cs="Arial"/>
          <w:i/>
          <w:iCs/>
          <w:sz w:val="20"/>
          <w:szCs w:val="20"/>
        </w:rPr>
        <w:t xml:space="preserve"> </w:t>
      </w:r>
      <w:r w:rsidR="00797C10" w:rsidRPr="00B7148E">
        <w:rPr>
          <w:rFonts w:ascii="Arial" w:hAnsi="Arial" w:cs="Arial"/>
          <w:iCs/>
          <w:sz w:val="20"/>
          <w:szCs w:val="20"/>
        </w:rPr>
        <w:t xml:space="preserve">after </w:t>
      </w:r>
      <w:r w:rsidR="00A45DD1">
        <w:rPr>
          <w:rFonts w:ascii="Arial" w:hAnsi="Arial" w:cs="Arial"/>
          <w:iCs/>
          <w:sz w:val="20"/>
          <w:szCs w:val="20"/>
        </w:rPr>
        <w:t>£0.1 million of depreciation</w:t>
      </w:r>
      <w:r w:rsidRPr="008A383B">
        <w:rPr>
          <w:rFonts w:ascii="Arial" w:hAnsi="Arial" w:cs="Arial"/>
          <w:sz w:val="20"/>
          <w:szCs w:val="20"/>
        </w:rPr>
        <w:t xml:space="preserve">. </w:t>
      </w:r>
      <w:r>
        <w:rPr>
          <w:rFonts w:ascii="Arial" w:hAnsi="Arial" w:cs="Arial"/>
          <w:sz w:val="20"/>
          <w:szCs w:val="20"/>
        </w:rPr>
        <w:t xml:space="preserve"> These properties are all situated in the Falkland Islands, and the £0.7 million additions include £0.2 million for the purchase of a property on Ross Road,</w:t>
      </w:r>
      <w:r w:rsidR="00A45DD1">
        <w:rPr>
          <w:rFonts w:ascii="Arial" w:hAnsi="Arial" w:cs="Arial"/>
          <w:sz w:val="20"/>
          <w:szCs w:val="20"/>
        </w:rPr>
        <w:t xml:space="preserve"> </w:t>
      </w:r>
      <w:r w:rsidR="00305E47">
        <w:rPr>
          <w:rFonts w:ascii="Arial" w:hAnsi="Arial" w:cs="Arial"/>
          <w:sz w:val="20"/>
          <w:szCs w:val="20"/>
        </w:rPr>
        <w:t>Stanley</w:t>
      </w:r>
      <w:r>
        <w:rPr>
          <w:rFonts w:ascii="Arial" w:hAnsi="Arial" w:cs="Arial"/>
          <w:sz w:val="20"/>
          <w:szCs w:val="20"/>
        </w:rPr>
        <w:t xml:space="preserve"> and further development o</w:t>
      </w:r>
      <w:r w:rsidR="00305E47">
        <w:rPr>
          <w:rFonts w:ascii="Arial" w:hAnsi="Arial" w:cs="Arial"/>
          <w:sz w:val="20"/>
          <w:szCs w:val="20"/>
        </w:rPr>
        <w:t>f</w:t>
      </w:r>
      <w:r>
        <w:rPr>
          <w:rFonts w:ascii="Arial" w:hAnsi="Arial" w:cs="Arial"/>
          <w:sz w:val="20"/>
          <w:szCs w:val="20"/>
        </w:rPr>
        <w:t xml:space="preserve"> residential properties to increase the Group’s portfolio.</w:t>
      </w:r>
    </w:p>
    <w:p w:rsidR="00367AFF" w:rsidRDefault="00367AFF" w:rsidP="00367AFF">
      <w:pPr>
        <w:widowControl w:val="0"/>
        <w:overflowPunct w:val="0"/>
        <w:autoSpaceDE w:val="0"/>
        <w:autoSpaceDN w:val="0"/>
        <w:adjustRightInd w:val="0"/>
        <w:spacing w:after="0" w:line="240" w:lineRule="auto"/>
        <w:jc w:val="both"/>
        <w:rPr>
          <w:rFonts w:ascii="Arial" w:hAnsi="Arial" w:cs="Arial"/>
          <w:sz w:val="20"/>
          <w:szCs w:val="20"/>
        </w:rPr>
      </w:pPr>
    </w:p>
    <w:p w:rsidR="00367AFF" w:rsidRPr="00DC2D40"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Group owns 36 investment properties (mainly houses) in Stanley which are held at depreciated cost. </w:t>
      </w:r>
      <w:r w:rsidRPr="00DC2D40">
        <w:rPr>
          <w:rFonts w:ascii="Arial" w:hAnsi="Arial" w:cs="Arial"/>
          <w:sz w:val="20"/>
          <w:szCs w:val="20"/>
        </w:rPr>
        <w:t>The</w:t>
      </w:r>
      <w:r>
        <w:rPr>
          <w:rFonts w:ascii="Arial" w:hAnsi="Arial" w:cs="Arial"/>
          <w:sz w:val="20"/>
          <w:szCs w:val="20"/>
        </w:rPr>
        <w:t xml:space="preserve"> net book value of these properties of £3.4 million has been reviewed </w:t>
      </w:r>
      <w:r w:rsidRPr="00DC2D40">
        <w:rPr>
          <w:rFonts w:ascii="Arial" w:hAnsi="Arial" w:cs="Arial"/>
          <w:sz w:val="20"/>
          <w:szCs w:val="20"/>
        </w:rPr>
        <w:t xml:space="preserve">by </w:t>
      </w:r>
      <w:r>
        <w:rPr>
          <w:rFonts w:ascii="Arial" w:hAnsi="Arial" w:cs="Arial"/>
          <w:sz w:val="20"/>
          <w:szCs w:val="20"/>
        </w:rPr>
        <w:t>the</w:t>
      </w:r>
      <w:r w:rsidRPr="00DC2D40">
        <w:rPr>
          <w:rFonts w:ascii="Arial" w:hAnsi="Arial" w:cs="Arial"/>
          <w:sz w:val="20"/>
          <w:szCs w:val="20"/>
        </w:rPr>
        <w:t xml:space="preserve"> Director</w:t>
      </w:r>
      <w:r>
        <w:rPr>
          <w:rFonts w:ascii="Arial" w:hAnsi="Arial" w:cs="Arial"/>
          <w:sz w:val="20"/>
          <w:szCs w:val="20"/>
        </w:rPr>
        <w:t>s</w:t>
      </w:r>
      <w:r w:rsidRPr="00DC2D40">
        <w:rPr>
          <w:rFonts w:ascii="Arial" w:hAnsi="Arial" w:cs="Arial"/>
          <w:sz w:val="20"/>
          <w:szCs w:val="20"/>
        </w:rPr>
        <w:t xml:space="preserve"> resident in the Falkland Islands</w:t>
      </w:r>
      <w:r>
        <w:rPr>
          <w:rFonts w:ascii="Arial" w:hAnsi="Arial" w:cs="Arial"/>
          <w:sz w:val="20"/>
          <w:szCs w:val="20"/>
        </w:rPr>
        <w:t xml:space="preserve"> and at 31 March 2014</w:t>
      </w:r>
      <w:r w:rsidRPr="008A383B">
        <w:rPr>
          <w:rFonts w:ascii="Arial" w:hAnsi="Arial" w:cs="Arial"/>
          <w:sz w:val="20"/>
          <w:szCs w:val="20"/>
        </w:rPr>
        <w:t xml:space="preserve"> the fair value o</w:t>
      </w:r>
      <w:r>
        <w:rPr>
          <w:rFonts w:ascii="Arial" w:hAnsi="Arial" w:cs="Arial"/>
          <w:sz w:val="20"/>
          <w:szCs w:val="20"/>
        </w:rPr>
        <w:t>f this property portfolio was estimated at £6.3</w:t>
      </w:r>
      <w:r w:rsidRPr="008A383B">
        <w:rPr>
          <w:rFonts w:ascii="Arial" w:hAnsi="Arial" w:cs="Arial"/>
          <w:sz w:val="20"/>
          <w:szCs w:val="20"/>
        </w:rPr>
        <w:t xml:space="preserve"> million </w:t>
      </w:r>
      <w:r>
        <w:rPr>
          <w:rFonts w:ascii="Arial" w:hAnsi="Arial" w:cs="Arial"/>
          <w:i/>
          <w:iCs/>
          <w:sz w:val="20"/>
          <w:szCs w:val="20"/>
        </w:rPr>
        <w:t>(2013: £5.7</w:t>
      </w:r>
      <w:r w:rsidRPr="008A383B">
        <w:rPr>
          <w:rFonts w:ascii="Arial" w:hAnsi="Arial" w:cs="Arial"/>
          <w:i/>
          <w:iCs/>
          <w:sz w:val="20"/>
          <w:szCs w:val="20"/>
        </w:rPr>
        <w:t xml:space="preserve"> million).</w:t>
      </w:r>
      <w:r>
        <w:rPr>
          <w:rFonts w:ascii="Arial" w:hAnsi="Arial" w:cs="Arial"/>
          <w:i/>
          <w:iCs/>
          <w:sz w:val="20"/>
          <w:szCs w:val="20"/>
        </w:rPr>
        <w:t xml:space="preserve"> </w:t>
      </w:r>
      <w:r>
        <w:rPr>
          <w:rFonts w:ascii="Arial" w:hAnsi="Arial" w:cs="Arial"/>
          <w:iCs/>
          <w:sz w:val="20"/>
          <w:szCs w:val="20"/>
        </w:rPr>
        <w:t xml:space="preserve"> </w:t>
      </w:r>
      <w:r w:rsidR="00A45DD1">
        <w:rPr>
          <w:rFonts w:ascii="Arial" w:hAnsi="Arial" w:cs="Arial"/>
          <w:iCs/>
          <w:sz w:val="20"/>
          <w:szCs w:val="20"/>
        </w:rPr>
        <w:t>If</w:t>
      </w:r>
      <w:r>
        <w:rPr>
          <w:rFonts w:ascii="Arial" w:hAnsi="Arial" w:cs="Arial"/>
          <w:iCs/>
          <w:sz w:val="20"/>
          <w:szCs w:val="20"/>
        </w:rPr>
        <w:t xml:space="preserve"> oil development proceeds, the value of all these properties is expected to increase significantly. </w:t>
      </w: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i/>
          <w:iCs/>
          <w:sz w:val="20"/>
          <w:szCs w:val="20"/>
        </w:rPr>
      </w:pP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bookmarkStart w:id="5" w:name="page13"/>
      <w:bookmarkEnd w:id="5"/>
      <w:r w:rsidRPr="008A383B">
        <w:rPr>
          <w:rFonts w:ascii="Arial" w:hAnsi="Arial" w:cs="Arial"/>
          <w:sz w:val="20"/>
          <w:szCs w:val="20"/>
        </w:rPr>
        <w:t>The Group</w:t>
      </w:r>
      <w:r>
        <w:rPr>
          <w:rFonts w:ascii="Arial" w:hAnsi="Arial" w:cs="Arial"/>
          <w:sz w:val="20"/>
          <w:szCs w:val="20"/>
        </w:rPr>
        <w:t xml:space="preserve">’s </w:t>
      </w:r>
      <w:r w:rsidR="00305E47">
        <w:rPr>
          <w:rFonts w:ascii="Arial" w:hAnsi="Arial" w:cs="Arial"/>
          <w:sz w:val="20"/>
          <w:szCs w:val="20"/>
        </w:rPr>
        <w:t>2.4</w:t>
      </w:r>
      <w:r>
        <w:rPr>
          <w:rFonts w:ascii="Arial" w:hAnsi="Arial" w:cs="Arial"/>
          <w:sz w:val="20"/>
          <w:szCs w:val="20"/>
        </w:rPr>
        <w:t>%</w:t>
      </w:r>
      <w:r w:rsidRPr="008A383B">
        <w:rPr>
          <w:rFonts w:ascii="Arial" w:hAnsi="Arial" w:cs="Arial"/>
          <w:sz w:val="20"/>
          <w:szCs w:val="20"/>
        </w:rPr>
        <w:t xml:space="preserve"> </w:t>
      </w:r>
      <w:r>
        <w:rPr>
          <w:rFonts w:ascii="Arial" w:hAnsi="Arial" w:cs="Arial"/>
          <w:sz w:val="20"/>
          <w:szCs w:val="20"/>
        </w:rPr>
        <w:t>shareholding in FOGL is described above in the Business Review.</w:t>
      </w: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p>
    <w:p w:rsidR="00367AFF"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8A383B">
        <w:rPr>
          <w:rFonts w:ascii="Arial" w:hAnsi="Arial" w:cs="Arial"/>
          <w:sz w:val="20"/>
          <w:szCs w:val="20"/>
        </w:rPr>
        <w:t xml:space="preserve">Deferred tax assets relating to future pension liabilities </w:t>
      </w:r>
      <w:r>
        <w:rPr>
          <w:rFonts w:ascii="Arial" w:hAnsi="Arial" w:cs="Arial"/>
          <w:sz w:val="20"/>
          <w:szCs w:val="20"/>
        </w:rPr>
        <w:t>de</w:t>
      </w:r>
      <w:r w:rsidRPr="008A383B">
        <w:rPr>
          <w:rFonts w:ascii="Arial" w:hAnsi="Arial" w:cs="Arial"/>
          <w:sz w:val="20"/>
          <w:szCs w:val="20"/>
        </w:rPr>
        <w:t xml:space="preserve">creased </w:t>
      </w:r>
      <w:r>
        <w:rPr>
          <w:rFonts w:ascii="Arial" w:hAnsi="Arial" w:cs="Arial"/>
          <w:sz w:val="20"/>
          <w:szCs w:val="20"/>
        </w:rPr>
        <w:t>to £0.6 million (</w:t>
      </w:r>
      <w:r w:rsidRPr="004A4E98">
        <w:rPr>
          <w:rFonts w:ascii="Arial" w:hAnsi="Arial" w:cs="Arial"/>
          <w:i/>
          <w:sz w:val="20"/>
          <w:szCs w:val="20"/>
        </w:rPr>
        <w:t>2013: £0.7 million</w:t>
      </w:r>
      <w:r w:rsidRPr="008A383B">
        <w:rPr>
          <w:rFonts w:ascii="Arial" w:hAnsi="Arial" w:cs="Arial"/>
          <w:sz w:val="20"/>
          <w:szCs w:val="20"/>
        </w:rPr>
        <w:t>).</w:t>
      </w:r>
      <w:r>
        <w:rPr>
          <w:rFonts w:ascii="Arial" w:hAnsi="Arial" w:cs="Arial"/>
          <w:sz w:val="20"/>
          <w:szCs w:val="20"/>
        </w:rPr>
        <w:t xml:space="preserve">  These assets now only include the deferred tax on the FIC unfunded scheme calculated by applying the 26% Falklands tax rate.  </w:t>
      </w: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p>
    <w:p w:rsidR="00367AFF" w:rsidRDefault="003C69E2" w:rsidP="00367AFF">
      <w:pPr>
        <w:widowControl w:val="0"/>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Inventories</w:t>
      </w:r>
      <w:r w:rsidR="00367AFF">
        <w:rPr>
          <w:rFonts w:ascii="Arial" w:hAnsi="Arial" w:cs="Arial"/>
          <w:sz w:val="20"/>
          <w:szCs w:val="20"/>
        </w:rPr>
        <w:t>, which largely represents stock held for resale in the Falkland Islands increased by £1.6 million to £6.7</w:t>
      </w:r>
      <w:r w:rsidR="00367AFF" w:rsidRPr="008A383B">
        <w:rPr>
          <w:rFonts w:ascii="Arial" w:hAnsi="Arial" w:cs="Arial"/>
          <w:sz w:val="20"/>
          <w:szCs w:val="20"/>
        </w:rPr>
        <w:t xml:space="preserve"> mi</w:t>
      </w:r>
      <w:r w:rsidR="00367AFF">
        <w:rPr>
          <w:rFonts w:ascii="Arial" w:hAnsi="Arial" w:cs="Arial"/>
          <w:sz w:val="20"/>
          <w:szCs w:val="20"/>
        </w:rPr>
        <w:t>llion at 31 March 2014</w:t>
      </w:r>
      <w:r w:rsidR="00367AFF" w:rsidRPr="008A383B">
        <w:rPr>
          <w:rFonts w:ascii="Arial" w:hAnsi="Arial" w:cs="Arial"/>
          <w:sz w:val="20"/>
          <w:szCs w:val="20"/>
        </w:rPr>
        <w:t>.</w:t>
      </w:r>
      <w:r w:rsidR="00367AFF">
        <w:rPr>
          <w:rFonts w:ascii="Arial" w:hAnsi="Arial" w:cs="Arial"/>
          <w:sz w:val="20"/>
          <w:szCs w:val="20"/>
        </w:rPr>
        <w:t xml:space="preserve">  The increase largely relates to Falklands Building Services which is experiencing significant growth. </w:t>
      </w: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8A383B">
        <w:rPr>
          <w:rFonts w:ascii="Arial" w:hAnsi="Arial" w:cs="Arial"/>
          <w:sz w:val="20"/>
          <w:szCs w:val="20"/>
        </w:rPr>
        <w:t>Trad</w:t>
      </w:r>
      <w:r>
        <w:rPr>
          <w:rFonts w:ascii="Arial" w:hAnsi="Arial" w:cs="Arial"/>
          <w:sz w:val="20"/>
          <w:szCs w:val="20"/>
        </w:rPr>
        <w:t>e and Other Receivables were increased by £0.9 million to £7.0</w:t>
      </w:r>
      <w:r w:rsidRPr="008A383B">
        <w:rPr>
          <w:rFonts w:ascii="Arial" w:hAnsi="Arial" w:cs="Arial"/>
          <w:sz w:val="20"/>
          <w:szCs w:val="20"/>
        </w:rPr>
        <w:t xml:space="preserve"> mil</w:t>
      </w:r>
      <w:r>
        <w:rPr>
          <w:rFonts w:ascii="Arial" w:hAnsi="Arial" w:cs="Arial"/>
          <w:sz w:val="20"/>
          <w:szCs w:val="20"/>
        </w:rPr>
        <w:t xml:space="preserve">lion as at 31 March 2014 due to the increased activity at </w:t>
      </w:r>
      <w:proofErr w:type="spellStart"/>
      <w:r>
        <w:rPr>
          <w:rFonts w:ascii="Arial" w:hAnsi="Arial" w:cs="Arial"/>
          <w:sz w:val="20"/>
          <w:szCs w:val="20"/>
        </w:rPr>
        <w:t>Momart</w:t>
      </w:r>
      <w:proofErr w:type="spellEnd"/>
      <w:r w:rsidRPr="008A383B">
        <w:rPr>
          <w:rFonts w:ascii="Arial" w:hAnsi="Arial" w:cs="Arial"/>
          <w:sz w:val="20"/>
          <w:szCs w:val="20"/>
        </w:rPr>
        <w:t>. Average debtor days o</w:t>
      </w:r>
      <w:r>
        <w:rPr>
          <w:rFonts w:ascii="Arial" w:hAnsi="Arial" w:cs="Arial"/>
          <w:sz w:val="20"/>
          <w:szCs w:val="20"/>
        </w:rPr>
        <w:t xml:space="preserve">utstanding were </w:t>
      </w:r>
      <w:r w:rsidR="00812B39">
        <w:rPr>
          <w:rFonts w:ascii="Arial" w:hAnsi="Arial" w:cs="Arial"/>
          <w:sz w:val="20"/>
          <w:szCs w:val="20"/>
        </w:rPr>
        <w:t>47</w:t>
      </w:r>
      <w:r>
        <w:rPr>
          <w:rFonts w:ascii="Arial" w:hAnsi="Arial" w:cs="Arial"/>
          <w:sz w:val="20"/>
          <w:szCs w:val="20"/>
        </w:rPr>
        <w:t>.0 (</w:t>
      </w:r>
      <w:r w:rsidRPr="003074FF">
        <w:rPr>
          <w:rFonts w:ascii="Arial" w:hAnsi="Arial" w:cs="Arial"/>
          <w:i/>
          <w:sz w:val="20"/>
          <w:szCs w:val="20"/>
        </w:rPr>
        <w:t>2013: 57.1</w:t>
      </w:r>
      <w:r w:rsidRPr="008A383B">
        <w:rPr>
          <w:rFonts w:ascii="Arial" w:hAnsi="Arial" w:cs="Arial"/>
          <w:sz w:val="20"/>
          <w:szCs w:val="20"/>
        </w:rPr>
        <w:t>).</w:t>
      </w: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8A383B">
        <w:rPr>
          <w:rFonts w:ascii="Arial" w:hAnsi="Arial" w:cs="Arial"/>
          <w:sz w:val="20"/>
          <w:szCs w:val="20"/>
        </w:rPr>
        <w:t>Outstanding finance le</w:t>
      </w:r>
      <w:r>
        <w:rPr>
          <w:rFonts w:ascii="Arial" w:hAnsi="Arial" w:cs="Arial"/>
          <w:sz w:val="20"/>
          <w:szCs w:val="20"/>
        </w:rPr>
        <w:t>ase liabilities totalled £5.2 million (</w:t>
      </w:r>
      <w:r w:rsidRPr="003074FF">
        <w:rPr>
          <w:rFonts w:ascii="Arial" w:hAnsi="Arial" w:cs="Arial"/>
          <w:i/>
          <w:sz w:val="20"/>
          <w:szCs w:val="20"/>
        </w:rPr>
        <w:t>2013: £5.3 million</w:t>
      </w:r>
      <w:r>
        <w:rPr>
          <w:rFonts w:ascii="Arial" w:hAnsi="Arial" w:cs="Arial"/>
          <w:sz w:val="20"/>
          <w:szCs w:val="20"/>
        </w:rPr>
        <w:t>). £4.9 million of the</w:t>
      </w:r>
      <w:r w:rsidRPr="008A383B">
        <w:rPr>
          <w:rFonts w:ascii="Arial" w:hAnsi="Arial" w:cs="Arial"/>
          <w:sz w:val="20"/>
          <w:szCs w:val="20"/>
        </w:rPr>
        <w:t xml:space="preserve"> finance leases </w:t>
      </w:r>
      <w:r>
        <w:rPr>
          <w:rFonts w:ascii="Arial" w:hAnsi="Arial" w:cs="Arial"/>
          <w:sz w:val="20"/>
          <w:szCs w:val="20"/>
        </w:rPr>
        <w:t xml:space="preserve">balance </w:t>
      </w:r>
      <w:r w:rsidRPr="008A383B">
        <w:rPr>
          <w:rFonts w:ascii="Arial" w:hAnsi="Arial" w:cs="Arial"/>
          <w:sz w:val="20"/>
          <w:szCs w:val="20"/>
        </w:rPr>
        <w:t xml:space="preserve">is in respect of the </w:t>
      </w:r>
      <w:r>
        <w:rPr>
          <w:rFonts w:ascii="Arial" w:hAnsi="Arial" w:cs="Arial"/>
          <w:sz w:val="20"/>
          <w:szCs w:val="20"/>
        </w:rPr>
        <w:t xml:space="preserve">50 year lease from Gosport Borough Council for the </w:t>
      </w:r>
      <w:r w:rsidRPr="008A383B">
        <w:rPr>
          <w:rFonts w:ascii="Arial" w:hAnsi="Arial" w:cs="Arial"/>
          <w:sz w:val="20"/>
          <w:szCs w:val="20"/>
        </w:rPr>
        <w:t>Gosport Pontoon</w:t>
      </w:r>
      <w:r w:rsidR="004A4E98">
        <w:rPr>
          <w:rFonts w:ascii="Arial" w:hAnsi="Arial" w:cs="Arial"/>
          <w:sz w:val="20"/>
          <w:szCs w:val="20"/>
        </w:rPr>
        <w:t>.</w:t>
      </w:r>
      <w:r>
        <w:rPr>
          <w:rFonts w:ascii="Arial" w:hAnsi="Arial" w:cs="Arial"/>
          <w:sz w:val="20"/>
          <w:szCs w:val="20"/>
        </w:rPr>
        <w:t xml:space="preserve"> </w:t>
      </w:r>
      <w:r w:rsidRPr="008A383B">
        <w:rPr>
          <w:rFonts w:ascii="Arial" w:hAnsi="Arial" w:cs="Arial"/>
          <w:sz w:val="20"/>
          <w:szCs w:val="20"/>
        </w:rPr>
        <w:t xml:space="preserve"> </w:t>
      </w: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8A383B">
        <w:rPr>
          <w:rFonts w:ascii="Arial" w:hAnsi="Arial" w:cs="Arial"/>
          <w:sz w:val="20"/>
          <w:szCs w:val="20"/>
        </w:rPr>
        <w:t>Corporation tax due for payment w</w:t>
      </w:r>
      <w:r>
        <w:rPr>
          <w:rFonts w:ascii="Arial" w:hAnsi="Arial" w:cs="Arial"/>
          <w:sz w:val="20"/>
          <w:szCs w:val="20"/>
        </w:rPr>
        <w:t>ithin the next 12 months is £0.4</w:t>
      </w:r>
      <w:r w:rsidRPr="008A383B">
        <w:rPr>
          <w:rFonts w:ascii="Arial" w:hAnsi="Arial" w:cs="Arial"/>
          <w:sz w:val="20"/>
          <w:szCs w:val="20"/>
        </w:rPr>
        <w:t xml:space="preserve"> million (</w:t>
      </w:r>
      <w:r w:rsidRPr="003074FF">
        <w:rPr>
          <w:rFonts w:ascii="Arial" w:hAnsi="Arial" w:cs="Arial"/>
          <w:i/>
          <w:sz w:val="20"/>
          <w:szCs w:val="20"/>
        </w:rPr>
        <w:t>2013: £0.4 million</w:t>
      </w:r>
      <w:r w:rsidRPr="008A383B">
        <w:rPr>
          <w:rFonts w:ascii="Arial" w:hAnsi="Arial" w:cs="Arial"/>
          <w:sz w:val="20"/>
          <w:szCs w:val="20"/>
        </w:rPr>
        <w:t>)</w:t>
      </w:r>
      <w:r>
        <w:rPr>
          <w:rFonts w:ascii="Arial" w:hAnsi="Arial" w:cs="Arial"/>
          <w:sz w:val="20"/>
          <w:szCs w:val="20"/>
        </w:rPr>
        <w:t xml:space="preserve">.  This is lower than the £0.9 million taxation charge on underlying profit, as £0.3 million of the 2014 tax charge has been paid in instalments.    </w:t>
      </w: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8A383B">
        <w:rPr>
          <w:rFonts w:ascii="Arial" w:hAnsi="Arial" w:cs="Arial"/>
          <w:sz w:val="20"/>
          <w:szCs w:val="20"/>
        </w:rPr>
        <w:t>Trade and other payables inc</w:t>
      </w:r>
      <w:r>
        <w:rPr>
          <w:rFonts w:ascii="Arial" w:hAnsi="Arial" w:cs="Arial"/>
          <w:sz w:val="20"/>
          <w:szCs w:val="20"/>
        </w:rPr>
        <w:t>reased from £10.0 million to £11.0 million at 31 March 2014</w:t>
      </w:r>
      <w:r w:rsidRPr="008A383B">
        <w:rPr>
          <w:rFonts w:ascii="Arial" w:hAnsi="Arial" w:cs="Arial"/>
          <w:sz w:val="20"/>
          <w:szCs w:val="20"/>
        </w:rPr>
        <w:t xml:space="preserve"> reflecting increased trading activity.</w:t>
      </w: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p>
    <w:p w:rsidR="00367AFF"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At 31 March 2014</w:t>
      </w:r>
      <w:r w:rsidRPr="008A383B">
        <w:rPr>
          <w:rFonts w:ascii="Arial" w:hAnsi="Arial" w:cs="Arial"/>
          <w:sz w:val="20"/>
          <w:szCs w:val="20"/>
        </w:rPr>
        <w:t xml:space="preserve"> the liability due in respect of the Group’s defined benefit pension schemes was £2.</w:t>
      </w:r>
      <w:r>
        <w:rPr>
          <w:rFonts w:ascii="Arial" w:hAnsi="Arial" w:cs="Arial"/>
          <w:sz w:val="20"/>
          <w:szCs w:val="20"/>
        </w:rPr>
        <w:t>5</w:t>
      </w:r>
      <w:r w:rsidRPr="008A383B">
        <w:rPr>
          <w:rFonts w:ascii="Arial" w:hAnsi="Arial" w:cs="Arial"/>
          <w:sz w:val="20"/>
          <w:szCs w:val="20"/>
        </w:rPr>
        <w:t xml:space="preserve"> million (</w:t>
      </w:r>
      <w:r w:rsidRPr="003074FF">
        <w:rPr>
          <w:rFonts w:ascii="Arial" w:hAnsi="Arial" w:cs="Arial"/>
          <w:i/>
          <w:sz w:val="20"/>
          <w:szCs w:val="20"/>
        </w:rPr>
        <w:t>2013: £2.</w:t>
      </w:r>
      <w:r w:rsidR="00047E65">
        <w:rPr>
          <w:rFonts w:ascii="Arial" w:hAnsi="Arial" w:cs="Arial"/>
          <w:i/>
          <w:sz w:val="20"/>
          <w:szCs w:val="20"/>
        </w:rPr>
        <w:t>6</w:t>
      </w:r>
      <w:r w:rsidRPr="003074FF">
        <w:rPr>
          <w:rFonts w:ascii="Arial" w:hAnsi="Arial" w:cs="Arial"/>
          <w:i/>
          <w:sz w:val="20"/>
          <w:szCs w:val="20"/>
        </w:rPr>
        <w:t xml:space="preserve"> million</w:t>
      </w:r>
      <w:r w:rsidRPr="008A383B">
        <w:rPr>
          <w:rFonts w:ascii="Arial" w:hAnsi="Arial" w:cs="Arial"/>
          <w:sz w:val="20"/>
          <w:szCs w:val="20"/>
        </w:rPr>
        <w:t>). The pension scheme in the Falkland Islands</w:t>
      </w:r>
      <w:r>
        <w:rPr>
          <w:rFonts w:ascii="Arial" w:hAnsi="Arial" w:cs="Arial"/>
          <w:sz w:val="20"/>
          <w:szCs w:val="20"/>
        </w:rPr>
        <w:t>,</w:t>
      </w:r>
      <w:r w:rsidRPr="008A383B">
        <w:rPr>
          <w:rFonts w:ascii="Arial" w:hAnsi="Arial" w:cs="Arial"/>
          <w:sz w:val="20"/>
          <w:szCs w:val="20"/>
        </w:rPr>
        <w:t xml:space="preserve"> which was closed to new entrants </w:t>
      </w:r>
      <w:r>
        <w:rPr>
          <w:rFonts w:ascii="Arial" w:hAnsi="Arial" w:cs="Arial"/>
          <w:sz w:val="20"/>
          <w:szCs w:val="20"/>
        </w:rPr>
        <w:t xml:space="preserve">in 1988 </w:t>
      </w:r>
      <w:r w:rsidRPr="008A383B">
        <w:rPr>
          <w:rFonts w:ascii="Arial" w:hAnsi="Arial" w:cs="Arial"/>
          <w:sz w:val="20"/>
          <w:szCs w:val="20"/>
        </w:rPr>
        <w:t>and to further accrual in 2007</w:t>
      </w:r>
      <w:r>
        <w:rPr>
          <w:rFonts w:ascii="Arial" w:hAnsi="Arial" w:cs="Arial"/>
          <w:sz w:val="20"/>
          <w:szCs w:val="20"/>
        </w:rPr>
        <w:t>,</w:t>
      </w:r>
      <w:r w:rsidRPr="008A383B">
        <w:rPr>
          <w:rFonts w:ascii="Arial" w:hAnsi="Arial" w:cs="Arial"/>
          <w:sz w:val="20"/>
          <w:szCs w:val="20"/>
        </w:rPr>
        <w:t xml:space="preserve"> is unfunded an</w:t>
      </w:r>
      <w:r w:rsidR="00047E65">
        <w:rPr>
          <w:rFonts w:ascii="Arial" w:hAnsi="Arial" w:cs="Arial"/>
          <w:sz w:val="20"/>
          <w:szCs w:val="20"/>
        </w:rPr>
        <w:t>d</w:t>
      </w:r>
      <w:r w:rsidRPr="008A383B">
        <w:rPr>
          <w:rFonts w:ascii="Arial" w:hAnsi="Arial" w:cs="Arial"/>
          <w:sz w:val="20"/>
          <w:szCs w:val="20"/>
        </w:rPr>
        <w:t xml:space="preserve"> </w:t>
      </w:r>
      <w:r w:rsidR="00E32341">
        <w:rPr>
          <w:rFonts w:ascii="Arial" w:hAnsi="Arial" w:cs="Arial"/>
          <w:sz w:val="20"/>
          <w:szCs w:val="20"/>
        </w:rPr>
        <w:t xml:space="preserve">liabilities </w:t>
      </w:r>
      <w:r w:rsidRPr="008A383B">
        <w:rPr>
          <w:rFonts w:ascii="Arial" w:hAnsi="Arial" w:cs="Arial"/>
          <w:sz w:val="20"/>
          <w:szCs w:val="20"/>
        </w:rPr>
        <w:t xml:space="preserve">are </w:t>
      </w:r>
      <w:proofErr w:type="gramStart"/>
      <w:r w:rsidRPr="008A383B">
        <w:rPr>
          <w:rFonts w:ascii="Arial" w:hAnsi="Arial" w:cs="Arial"/>
          <w:sz w:val="20"/>
          <w:szCs w:val="20"/>
        </w:rPr>
        <w:t>met  from</w:t>
      </w:r>
      <w:proofErr w:type="gramEnd"/>
      <w:r w:rsidRPr="008A383B">
        <w:rPr>
          <w:rFonts w:ascii="Arial" w:hAnsi="Arial" w:cs="Arial"/>
          <w:sz w:val="20"/>
          <w:szCs w:val="20"/>
        </w:rPr>
        <w:t xml:space="preserve"> operating cash flow.</w:t>
      </w:r>
      <w:r w:rsidRPr="008A383B" w:rsidDel="00861A51">
        <w:rPr>
          <w:rFonts w:ascii="Arial" w:hAnsi="Arial" w:cs="Arial"/>
          <w:sz w:val="20"/>
          <w:szCs w:val="20"/>
        </w:rPr>
        <w:t xml:space="preserve"> </w:t>
      </w: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sidRPr="008A383B">
        <w:rPr>
          <w:rFonts w:ascii="Arial" w:hAnsi="Arial" w:cs="Arial"/>
          <w:sz w:val="20"/>
          <w:szCs w:val="20"/>
        </w:rPr>
        <w:t>The net deferred tax liabilities</w:t>
      </w:r>
      <w:r>
        <w:rPr>
          <w:rFonts w:ascii="Arial" w:hAnsi="Arial" w:cs="Arial"/>
          <w:sz w:val="20"/>
          <w:szCs w:val="20"/>
        </w:rPr>
        <w:t>, excluding the pension asset at 31 March 2014 at £1.6</w:t>
      </w:r>
      <w:r w:rsidRPr="008A383B">
        <w:rPr>
          <w:rFonts w:ascii="Arial" w:hAnsi="Arial" w:cs="Arial"/>
          <w:sz w:val="20"/>
          <w:szCs w:val="20"/>
        </w:rPr>
        <w:t xml:space="preserve"> million</w:t>
      </w:r>
      <w:r>
        <w:rPr>
          <w:rFonts w:ascii="Arial" w:hAnsi="Arial" w:cs="Arial"/>
          <w:sz w:val="20"/>
          <w:szCs w:val="20"/>
        </w:rPr>
        <w:t xml:space="preserve"> remained in line with the prior year (</w:t>
      </w:r>
      <w:r w:rsidRPr="00B248B7">
        <w:rPr>
          <w:rFonts w:ascii="Arial" w:hAnsi="Arial" w:cs="Arial"/>
          <w:i/>
          <w:sz w:val="20"/>
          <w:szCs w:val="20"/>
        </w:rPr>
        <w:t>2013: £1.7 million</w:t>
      </w:r>
      <w:r>
        <w:rPr>
          <w:rFonts w:ascii="Arial" w:hAnsi="Arial" w:cs="Arial"/>
          <w:sz w:val="20"/>
          <w:szCs w:val="20"/>
        </w:rPr>
        <w:t xml:space="preserve">).  £1.4 million of this balance arises on property, plant and equipment, and is principally due to </w:t>
      </w:r>
      <w:r w:rsidR="00790B93">
        <w:rPr>
          <w:rFonts w:ascii="Arial" w:hAnsi="Arial" w:cs="Arial"/>
          <w:sz w:val="20"/>
          <w:szCs w:val="20"/>
        </w:rPr>
        <w:t>properties</w:t>
      </w:r>
      <w:r>
        <w:rPr>
          <w:rFonts w:ascii="Arial" w:hAnsi="Arial" w:cs="Arial"/>
          <w:sz w:val="20"/>
          <w:szCs w:val="20"/>
        </w:rPr>
        <w:t xml:space="preserve"> in the Falklands,</w:t>
      </w:r>
      <w:r w:rsidR="00E32341">
        <w:rPr>
          <w:rFonts w:ascii="Arial" w:hAnsi="Arial" w:cs="Arial"/>
          <w:sz w:val="20"/>
          <w:szCs w:val="20"/>
        </w:rPr>
        <w:t xml:space="preserve"> </w:t>
      </w:r>
      <w:r w:rsidR="00CF3306">
        <w:rPr>
          <w:rFonts w:ascii="Arial" w:hAnsi="Arial" w:cs="Arial"/>
          <w:sz w:val="20"/>
          <w:szCs w:val="20"/>
        </w:rPr>
        <w:t>where</w:t>
      </w:r>
      <w:r>
        <w:rPr>
          <w:rFonts w:ascii="Arial" w:hAnsi="Arial" w:cs="Arial"/>
          <w:sz w:val="20"/>
          <w:szCs w:val="20"/>
        </w:rPr>
        <w:t xml:space="preserve"> capital allowances of 10% are available on the majority of the FIC properties. With such assets depreciated over 20-50 years a timing difference arises on which deferred tax is provided.  </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Default="00367AFF" w:rsidP="00367AFF">
      <w:pPr>
        <w:rPr>
          <w:rFonts w:ascii="Arial" w:hAnsi="Arial" w:cs="Arial"/>
          <w:b/>
          <w:bCs/>
          <w:sz w:val="20"/>
          <w:szCs w:val="20"/>
        </w:rPr>
      </w:pPr>
      <w:r>
        <w:rPr>
          <w:rFonts w:ascii="Arial" w:hAnsi="Arial" w:cs="Arial"/>
          <w:sz w:val="20"/>
          <w:szCs w:val="20"/>
        </w:rPr>
        <w:t>Net assets per share were 285</w:t>
      </w:r>
      <w:r w:rsidRPr="008A383B">
        <w:rPr>
          <w:rFonts w:ascii="Arial" w:hAnsi="Arial" w:cs="Arial"/>
          <w:sz w:val="20"/>
          <w:szCs w:val="20"/>
        </w:rPr>
        <w:t>p at 31 March 201</w:t>
      </w:r>
      <w:r>
        <w:rPr>
          <w:rFonts w:ascii="Arial" w:hAnsi="Arial" w:cs="Arial"/>
          <w:sz w:val="20"/>
          <w:szCs w:val="20"/>
        </w:rPr>
        <w:t>4</w:t>
      </w:r>
      <w:r w:rsidRPr="008A383B">
        <w:rPr>
          <w:rFonts w:ascii="Arial" w:hAnsi="Arial" w:cs="Arial"/>
          <w:sz w:val="20"/>
          <w:szCs w:val="20"/>
        </w:rPr>
        <w:t xml:space="preserve"> </w:t>
      </w:r>
      <w:r>
        <w:rPr>
          <w:rFonts w:ascii="Arial" w:hAnsi="Arial" w:cs="Arial"/>
          <w:i/>
          <w:iCs/>
          <w:sz w:val="20"/>
          <w:szCs w:val="20"/>
        </w:rPr>
        <w:t>(2013</w:t>
      </w:r>
      <w:r w:rsidRPr="008A383B">
        <w:rPr>
          <w:rFonts w:ascii="Arial" w:hAnsi="Arial" w:cs="Arial"/>
          <w:i/>
          <w:iCs/>
          <w:sz w:val="20"/>
          <w:szCs w:val="20"/>
        </w:rPr>
        <w:t>:</w:t>
      </w:r>
      <w:r w:rsidRPr="008A383B">
        <w:rPr>
          <w:rFonts w:ascii="Arial" w:hAnsi="Arial" w:cs="Arial"/>
          <w:sz w:val="20"/>
          <w:szCs w:val="20"/>
        </w:rPr>
        <w:t xml:space="preserve"> </w:t>
      </w:r>
      <w:r>
        <w:rPr>
          <w:rFonts w:ascii="Arial" w:hAnsi="Arial" w:cs="Arial"/>
          <w:i/>
          <w:iCs/>
          <w:sz w:val="20"/>
          <w:szCs w:val="20"/>
        </w:rPr>
        <w:t>276</w:t>
      </w:r>
      <w:r w:rsidRPr="008A383B">
        <w:rPr>
          <w:rFonts w:ascii="Arial" w:hAnsi="Arial" w:cs="Arial"/>
          <w:i/>
          <w:iCs/>
          <w:sz w:val="20"/>
          <w:szCs w:val="20"/>
        </w:rPr>
        <w:t>p</w:t>
      </w:r>
      <w:r>
        <w:rPr>
          <w:rFonts w:ascii="Arial" w:hAnsi="Arial" w:cs="Arial"/>
          <w:i/>
          <w:iCs/>
          <w:sz w:val="20"/>
          <w:szCs w:val="20"/>
        </w:rPr>
        <w:t>)</w:t>
      </w:r>
      <w:r w:rsidR="00B7148E">
        <w:rPr>
          <w:rFonts w:ascii="Arial" w:hAnsi="Arial" w:cs="Arial"/>
          <w:i/>
          <w:iCs/>
          <w:sz w:val="20"/>
          <w:szCs w:val="20"/>
        </w:rPr>
        <w:t>.</w:t>
      </w:r>
      <w:r>
        <w:rPr>
          <w:rFonts w:ascii="Arial" w:hAnsi="Arial" w:cs="Arial"/>
          <w:b/>
          <w:bCs/>
          <w:sz w:val="20"/>
          <w:szCs w:val="20"/>
        </w:rPr>
        <w:br w:type="page"/>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r w:rsidRPr="008A383B">
        <w:rPr>
          <w:rFonts w:ascii="Arial" w:hAnsi="Arial" w:cs="Arial"/>
          <w:b/>
          <w:bCs/>
          <w:sz w:val="20"/>
          <w:szCs w:val="20"/>
        </w:rPr>
        <w:t>Cash flows</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r w:rsidRPr="008A383B">
        <w:rPr>
          <w:rFonts w:ascii="Arial" w:hAnsi="Arial" w:cs="Arial"/>
          <w:i/>
          <w:iCs/>
          <w:sz w:val="20"/>
          <w:szCs w:val="20"/>
        </w:rPr>
        <w:t>Operating cash flow</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Pr="008A383B" w:rsidRDefault="00367AFF" w:rsidP="00367AFF">
      <w:pPr>
        <w:widowControl w:val="0"/>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Net cash flow from operating activities</w:t>
      </w:r>
      <w:r w:rsidRPr="008A383B">
        <w:rPr>
          <w:rFonts w:ascii="Arial" w:hAnsi="Arial" w:cs="Arial"/>
          <w:sz w:val="20"/>
          <w:szCs w:val="20"/>
        </w:rPr>
        <w:t xml:space="preserve"> </w:t>
      </w:r>
      <w:r>
        <w:rPr>
          <w:rFonts w:ascii="Arial" w:hAnsi="Arial" w:cs="Arial"/>
          <w:sz w:val="20"/>
          <w:szCs w:val="20"/>
        </w:rPr>
        <w:t>dec</w:t>
      </w:r>
      <w:r w:rsidRPr="008A383B">
        <w:rPr>
          <w:rFonts w:ascii="Arial" w:hAnsi="Arial" w:cs="Arial"/>
          <w:sz w:val="20"/>
          <w:szCs w:val="20"/>
        </w:rPr>
        <w:t>reased from £</w:t>
      </w:r>
      <w:r>
        <w:rPr>
          <w:rFonts w:ascii="Arial" w:hAnsi="Arial" w:cs="Arial"/>
          <w:sz w:val="20"/>
          <w:szCs w:val="20"/>
        </w:rPr>
        <w:t>3.5</w:t>
      </w:r>
      <w:r w:rsidR="000C5327">
        <w:rPr>
          <w:rFonts w:ascii="Arial" w:hAnsi="Arial" w:cs="Arial"/>
          <w:sz w:val="20"/>
          <w:szCs w:val="20"/>
        </w:rPr>
        <w:t xml:space="preserve"> </w:t>
      </w:r>
      <w:r w:rsidRPr="008A383B">
        <w:rPr>
          <w:rFonts w:ascii="Arial" w:hAnsi="Arial" w:cs="Arial"/>
          <w:sz w:val="20"/>
          <w:szCs w:val="20"/>
        </w:rPr>
        <w:t>million last year to £</w:t>
      </w:r>
      <w:r>
        <w:rPr>
          <w:rFonts w:ascii="Arial" w:hAnsi="Arial" w:cs="Arial"/>
          <w:sz w:val="20"/>
          <w:szCs w:val="20"/>
        </w:rPr>
        <w:t>2.8</w:t>
      </w:r>
      <w:r w:rsidR="000C5327">
        <w:rPr>
          <w:rFonts w:ascii="Arial" w:hAnsi="Arial" w:cs="Arial"/>
          <w:sz w:val="20"/>
          <w:szCs w:val="20"/>
        </w:rPr>
        <w:t xml:space="preserve"> </w:t>
      </w:r>
      <w:r w:rsidRPr="008A383B">
        <w:rPr>
          <w:rFonts w:ascii="Arial" w:hAnsi="Arial" w:cs="Arial"/>
          <w:sz w:val="20"/>
          <w:szCs w:val="20"/>
        </w:rPr>
        <w:t xml:space="preserve">million, primarily due to </w:t>
      </w:r>
      <w:r>
        <w:rPr>
          <w:rFonts w:ascii="Arial" w:hAnsi="Arial" w:cs="Arial"/>
          <w:sz w:val="20"/>
          <w:szCs w:val="20"/>
        </w:rPr>
        <w:t>a further increase in</w:t>
      </w:r>
      <w:r w:rsidRPr="008A383B">
        <w:rPr>
          <w:rFonts w:ascii="Arial" w:hAnsi="Arial" w:cs="Arial"/>
          <w:sz w:val="20"/>
          <w:szCs w:val="20"/>
        </w:rPr>
        <w:t xml:space="preserve"> working capital </w:t>
      </w:r>
      <w:r>
        <w:rPr>
          <w:rFonts w:ascii="Arial" w:hAnsi="Arial" w:cs="Arial"/>
          <w:sz w:val="20"/>
          <w:szCs w:val="20"/>
        </w:rPr>
        <w:t xml:space="preserve">as the </w:t>
      </w:r>
      <w:r w:rsidRPr="008A383B">
        <w:rPr>
          <w:rFonts w:ascii="Arial" w:hAnsi="Arial" w:cs="Arial"/>
          <w:sz w:val="20"/>
          <w:szCs w:val="20"/>
        </w:rPr>
        <w:t xml:space="preserve">Falkland Islands </w:t>
      </w:r>
      <w:r>
        <w:rPr>
          <w:rFonts w:ascii="Arial" w:hAnsi="Arial" w:cs="Arial"/>
          <w:sz w:val="20"/>
          <w:szCs w:val="20"/>
        </w:rPr>
        <w:t xml:space="preserve">prepare for future growth. </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Default="00367AFF" w:rsidP="00367AFF">
      <w:pPr>
        <w:widowControl w:val="0"/>
        <w:overflowPunct w:val="0"/>
        <w:autoSpaceDE w:val="0"/>
        <w:autoSpaceDN w:val="0"/>
        <w:adjustRightInd w:val="0"/>
        <w:spacing w:after="0" w:line="240" w:lineRule="auto"/>
        <w:rPr>
          <w:rFonts w:ascii="Arial" w:hAnsi="Arial" w:cs="Arial"/>
          <w:sz w:val="20"/>
          <w:szCs w:val="20"/>
        </w:rPr>
      </w:pPr>
      <w:r w:rsidRPr="008A383B">
        <w:rPr>
          <w:rFonts w:ascii="Arial" w:hAnsi="Arial" w:cs="Arial"/>
          <w:sz w:val="20"/>
          <w:szCs w:val="20"/>
        </w:rPr>
        <w:t>The Group’s Operating Cash Flow can be summarised as follows:</w:t>
      </w:r>
    </w:p>
    <w:p w:rsidR="00367AFF" w:rsidRDefault="00367AFF" w:rsidP="00367AFF">
      <w:pPr>
        <w:widowControl w:val="0"/>
        <w:overflowPunct w:val="0"/>
        <w:autoSpaceDE w:val="0"/>
        <w:autoSpaceDN w:val="0"/>
        <w:adjustRightInd w:val="0"/>
        <w:spacing w:after="0" w:line="240" w:lineRule="auto"/>
        <w:rPr>
          <w:rFonts w:ascii="Arial" w:hAnsi="Arial" w:cs="Arial"/>
          <w:sz w:val="20"/>
          <w:szCs w:val="20"/>
        </w:rPr>
      </w:pPr>
    </w:p>
    <w:p w:rsidR="00367AFF" w:rsidRPr="008A383B" w:rsidRDefault="00367AFF" w:rsidP="00367AFF">
      <w:pPr>
        <w:widowControl w:val="0"/>
        <w:overflowPunct w:val="0"/>
        <w:autoSpaceDE w:val="0"/>
        <w:autoSpaceDN w:val="0"/>
        <w:adjustRightInd w:val="0"/>
        <w:spacing w:after="0" w:line="240" w:lineRule="auto"/>
        <w:rPr>
          <w:rFonts w:ascii="Arial" w:hAnsi="Arial" w:cs="Arial"/>
          <w:sz w:val="20"/>
          <w:szCs w:val="20"/>
        </w:rPr>
      </w:pPr>
    </w:p>
    <w:tbl>
      <w:tblPr>
        <w:tblW w:w="7879" w:type="dxa"/>
        <w:tblInd w:w="200" w:type="dxa"/>
        <w:tblLayout w:type="fixed"/>
        <w:tblCellMar>
          <w:left w:w="0" w:type="dxa"/>
          <w:right w:w="0" w:type="dxa"/>
        </w:tblCellMar>
        <w:tblLook w:val="0000" w:firstRow="0" w:lastRow="0" w:firstColumn="0" w:lastColumn="0" w:noHBand="0" w:noVBand="0"/>
      </w:tblPr>
      <w:tblGrid>
        <w:gridCol w:w="5329"/>
        <w:gridCol w:w="1275"/>
        <w:gridCol w:w="1275"/>
      </w:tblGrid>
      <w:tr w:rsidR="00367AFF" w:rsidRPr="008A383B" w:rsidTr="00367AFF">
        <w:trPr>
          <w:trHeight w:val="140"/>
        </w:trPr>
        <w:tc>
          <w:tcPr>
            <w:tcW w:w="5329" w:type="dxa"/>
            <w:tcBorders>
              <w:top w:val="nil"/>
              <w:left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Year ended 31 March</w:t>
            </w:r>
          </w:p>
        </w:tc>
        <w:tc>
          <w:tcPr>
            <w:tcW w:w="1275" w:type="dxa"/>
            <w:tcBorders>
              <w:top w:val="nil"/>
              <w:left w:val="nil"/>
              <w:right w:val="nil"/>
            </w:tcBorders>
            <w:vAlign w:val="bottom"/>
          </w:tcPr>
          <w:p w:rsidR="00367AFF"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2014</w:t>
            </w:r>
          </w:p>
        </w:tc>
        <w:tc>
          <w:tcPr>
            <w:tcW w:w="1275" w:type="dxa"/>
            <w:tcBorders>
              <w:top w:val="nil"/>
              <w:left w:val="nil"/>
              <w:right w:val="nil"/>
            </w:tcBorders>
            <w:vAlign w:val="bottom"/>
          </w:tcPr>
          <w:p w:rsidR="00367AFF" w:rsidRPr="008A383B"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2013</w:t>
            </w:r>
          </w:p>
        </w:tc>
      </w:tr>
      <w:tr w:rsidR="00367AFF" w:rsidRPr="008A383B" w:rsidTr="00367AFF">
        <w:trPr>
          <w:trHeight w:val="180"/>
        </w:trPr>
        <w:tc>
          <w:tcPr>
            <w:tcW w:w="5329"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ind w:right="162"/>
              <w:jc w:val="right"/>
              <w:rPr>
                <w:rFonts w:ascii="Arial" w:hAnsi="Arial" w:cs="Arial"/>
                <w:sz w:val="20"/>
                <w:szCs w:val="20"/>
              </w:rPr>
            </w:pPr>
            <w:r w:rsidRPr="008A383B">
              <w:rPr>
                <w:rFonts w:ascii="Arial" w:hAnsi="Arial" w:cs="Arial"/>
                <w:sz w:val="20"/>
                <w:szCs w:val="20"/>
              </w:rPr>
              <w:t>£m</w:t>
            </w:r>
          </w:p>
        </w:tc>
        <w:tc>
          <w:tcPr>
            <w:tcW w:w="1275"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ind w:right="162"/>
              <w:jc w:val="right"/>
              <w:rPr>
                <w:rFonts w:ascii="Arial" w:hAnsi="Arial" w:cs="Arial"/>
                <w:sz w:val="20"/>
                <w:szCs w:val="20"/>
              </w:rPr>
            </w:pPr>
            <w:r w:rsidRPr="008A383B">
              <w:rPr>
                <w:rFonts w:ascii="Arial" w:hAnsi="Arial" w:cs="Arial"/>
                <w:sz w:val="20"/>
                <w:szCs w:val="20"/>
              </w:rPr>
              <w:t>£m</w:t>
            </w:r>
          </w:p>
        </w:tc>
      </w:tr>
      <w:tr w:rsidR="00367AFF" w:rsidRPr="008A383B" w:rsidTr="00367AFF">
        <w:trPr>
          <w:trHeight w:val="405"/>
        </w:trPr>
        <w:tc>
          <w:tcPr>
            <w:tcW w:w="5329" w:type="dxa"/>
            <w:tcBorders>
              <w:top w:val="single" w:sz="4" w:space="0" w:color="auto"/>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 xml:space="preserve">Underlying </w:t>
            </w:r>
            <w:r w:rsidR="00812B39">
              <w:rPr>
                <w:rFonts w:ascii="Arial" w:hAnsi="Arial" w:cs="Arial"/>
                <w:sz w:val="20"/>
                <w:szCs w:val="20"/>
              </w:rPr>
              <w:t>profit before tax</w:t>
            </w:r>
          </w:p>
        </w:tc>
        <w:tc>
          <w:tcPr>
            <w:tcW w:w="1275" w:type="dxa"/>
            <w:tcBorders>
              <w:top w:val="single" w:sz="4" w:space="0" w:color="auto"/>
              <w:left w:val="nil"/>
              <w:bottom w:val="nil"/>
              <w:right w:val="nil"/>
            </w:tcBorders>
            <w:vAlign w:val="bottom"/>
          </w:tcPr>
          <w:p w:rsidR="00367AFF"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3.6</w:t>
            </w:r>
          </w:p>
        </w:tc>
        <w:tc>
          <w:tcPr>
            <w:tcW w:w="1275" w:type="dxa"/>
            <w:tcBorders>
              <w:top w:val="single" w:sz="4" w:space="0" w:color="auto"/>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3.3</w:t>
            </w:r>
          </w:p>
        </w:tc>
      </w:tr>
      <w:tr w:rsidR="00367AFF" w:rsidRPr="008A383B" w:rsidTr="00367AFF">
        <w:trPr>
          <w:trHeight w:val="283"/>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Depreciation</w:t>
            </w:r>
            <w:r>
              <w:rPr>
                <w:rFonts w:ascii="Arial" w:hAnsi="Arial" w:cs="Arial"/>
                <w:sz w:val="20"/>
                <w:szCs w:val="20"/>
              </w:rPr>
              <w:t xml:space="preserve"> </w:t>
            </w:r>
          </w:p>
        </w:tc>
        <w:tc>
          <w:tcPr>
            <w:tcW w:w="1275" w:type="dxa"/>
            <w:tcBorders>
              <w:top w:val="nil"/>
              <w:left w:val="nil"/>
              <w:bottom w:val="nil"/>
              <w:right w:val="nil"/>
            </w:tcBorders>
            <w:vAlign w:val="bottom"/>
          </w:tcPr>
          <w:p w:rsidR="00367AFF"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1.1</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1.2</w:t>
            </w:r>
          </w:p>
        </w:tc>
      </w:tr>
      <w:tr w:rsidR="00367AFF" w:rsidRPr="008A383B" w:rsidTr="00367AFF">
        <w:trPr>
          <w:trHeight w:val="283"/>
        </w:trPr>
        <w:tc>
          <w:tcPr>
            <w:tcW w:w="5329" w:type="dxa"/>
            <w:tcBorders>
              <w:top w:val="nil"/>
              <w:left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Amortisation of computer software</w:t>
            </w:r>
          </w:p>
        </w:tc>
        <w:tc>
          <w:tcPr>
            <w:tcW w:w="1275" w:type="dxa"/>
            <w:tcBorders>
              <w:top w:val="nil"/>
              <w:left w:val="nil"/>
              <w:right w:val="nil"/>
            </w:tcBorders>
            <w:vAlign w:val="bottom"/>
          </w:tcPr>
          <w:p w:rsidR="00367AFF"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0.1</w:t>
            </w:r>
          </w:p>
        </w:tc>
        <w:tc>
          <w:tcPr>
            <w:tcW w:w="1275" w:type="dxa"/>
            <w:tcBorders>
              <w:top w:val="nil"/>
              <w:left w:val="nil"/>
              <w:right w:val="nil"/>
            </w:tcBorders>
            <w:vAlign w:val="bottom"/>
          </w:tcPr>
          <w:p w:rsidR="00367AFF" w:rsidRPr="008A383B"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w:t>
            </w:r>
          </w:p>
        </w:tc>
      </w:tr>
      <w:tr w:rsidR="00367AFF" w:rsidRPr="008A383B" w:rsidTr="00367AFF">
        <w:trPr>
          <w:trHeight w:val="283"/>
        </w:trPr>
        <w:tc>
          <w:tcPr>
            <w:tcW w:w="5329" w:type="dxa"/>
            <w:tcBorders>
              <w:top w:val="nil"/>
              <w:left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 xml:space="preserve">Net </w:t>
            </w:r>
            <w:r w:rsidRPr="008A383B">
              <w:rPr>
                <w:rFonts w:ascii="Arial" w:hAnsi="Arial" w:cs="Arial"/>
                <w:sz w:val="20"/>
                <w:szCs w:val="20"/>
              </w:rPr>
              <w:t>Interest payable</w:t>
            </w:r>
          </w:p>
        </w:tc>
        <w:tc>
          <w:tcPr>
            <w:tcW w:w="1275" w:type="dxa"/>
            <w:tcBorders>
              <w:top w:val="nil"/>
              <w:left w:val="nil"/>
              <w:right w:val="nil"/>
            </w:tcBorders>
            <w:vAlign w:val="bottom"/>
          </w:tcPr>
          <w:p w:rsidR="00367AFF"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0.2</w:t>
            </w:r>
          </w:p>
        </w:tc>
        <w:tc>
          <w:tcPr>
            <w:tcW w:w="1275" w:type="dxa"/>
            <w:tcBorders>
              <w:top w:val="nil"/>
              <w:left w:val="nil"/>
              <w:right w:val="nil"/>
            </w:tcBorders>
            <w:vAlign w:val="bottom"/>
          </w:tcPr>
          <w:p w:rsidR="00367AFF" w:rsidRPr="008A383B"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0.2</w:t>
            </w:r>
          </w:p>
        </w:tc>
      </w:tr>
      <w:tr w:rsidR="00367AFF" w:rsidRPr="008A383B" w:rsidTr="00367AFF">
        <w:trPr>
          <w:trHeight w:val="31"/>
        </w:trPr>
        <w:tc>
          <w:tcPr>
            <w:tcW w:w="5329"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8A383B" w:rsidTr="00367AFF">
        <w:trPr>
          <w:trHeight w:val="261"/>
        </w:trPr>
        <w:tc>
          <w:tcPr>
            <w:tcW w:w="5329" w:type="dxa"/>
            <w:tcBorders>
              <w:top w:val="single" w:sz="4" w:space="0" w:color="auto"/>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EBITDA</w:t>
            </w:r>
          </w:p>
        </w:tc>
        <w:tc>
          <w:tcPr>
            <w:tcW w:w="1275" w:type="dxa"/>
            <w:tcBorders>
              <w:top w:val="single" w:sz="4" w:space="0" w:color="auto"/>
              <w:left w:val="nil"/>
              <w:bottom w:val="nil"/>
              <w:right w:val="nil"/>
            </w:tcBorders>
            <w:vAlign w:val="bottom"/>
          </w:tcPr>
          <w:p w:rsidR="00367AFF"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5.0</w:t>
            </w:r>
          </w:p>
        </w:tc>
        <w:tc>
          <w:tcPr>
            <w:tcW w:w="1275" w:type="dxa"/>
            <w:tcBorders>
              <w:top w:val="single" w:sz="4" w:space="0" w:color="auto"/>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4.7</w:t>
            </w:r>
          </w:p>
        </w:tc>
      </w:tr>
      <w:tr w:rsidR="00367AFF" w:rsidRPr="008A383B" w:rsidTr="00367AFF">
        <w:trPr>
          <w:trHeight w:val="312"/>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62"/>
              <w:jc w:val="right"/>
              <w:rPr>
                <w:rFonts w:ascii="Arial" w:hAnsi="Arial" w:cs="Arial"/>
                <w:sz w:val="20"/>
                <w:szCs w:val="20"/>
              </w:rPr>
            </w:pP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62"/>
              <w:jc w:val="right"/>
              <w:rPr>
                <w:rFonts w:ascii="Arial" w:hAnsi="Arial" w:cs="Arial"/>
                <w:sz w:val="20"/>
                <w:szCs w:val="20"/>
              </w:rPr>
            </w:pPr>
          </w:p>
        </w:tc>
      </w:tr>
      <w:tr w:rsidR="00367AFF" w:rsidRPr="008A383B" w:rsidTr="00367AFF">
        <w:trPr>
          <w:trHeight w:val="312"/>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Share based payments</w:t>
            </w:r>
          </w:p>
        </w:tc>
        <w:tc>
          <w:tcPr>
            <w:tcW w:w="1275" w:type="dxa"/>
            <w:tcBorders>
              <w:top w:val="nil"/>
              <w:left w:val="nil"/>
              <w:bottom w:val="nil"/>
              <w:right w:val="nil"/>
            </w:tcBorders>
            <w:vAlign w:val="bottom"/>
          </w:tcPr>
          <w:p w:rsidR="00367AFF"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0.2</w:t>
            </w:r>
          </w:p>
        </w:tc>
      </w:tr>
      <w:tr w:rsidR="00367AFF" w:rsidRPr="008A383B" w:rsidTr="00367AFF">
        <w:trPr>
          <w:trHeight w:val="310"/>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In</w:t>
            </w:r>
            <w:r w:rsidRPr="008A383B">
              <w:rPr>
                <w:rFonts w:ascii="Arial" w:hAnsi="Arial" w:cs="Arial"/>
                <w:sz w:val="20"/>
                <w:szCs w:val="20"/>
              </w:rPr>
              <w:t>crease in working capital</w:t>
            </w:r>
          </w:p>
        </w:tc>
        <w:tc>
          <w:tcPr>
            <w:tcW w:w="1275" w:type="dxa"/>
            <w:tcBorders>
              <w:top w:val="nil"/>
              <w:left w:val="nil"/>
              <w:bottom w:val="nil"/>
              <w:right w:val="nil"/>
            </w:tcBorders>
            <w:vAlign w:val="bottom"/>
          </w:tcPr>
          <w:p w:rsidR="00367AFF"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(1.7</w:t>
            </w:r>
            <w:r w:rsidRPr="008A383B">
              <w:rPr>
                <w:rFonts w:ascii="Arial" w:hAnsi="Arial" w:cs="Arial"/>
                <w:sz w:val="20"/>
                <w:szCs w:val="20"/>
              </w:rPr>
              <w:t>)</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(0.5</w:t>
            </w:r>
            <w:r w:rsidRPr="008A383B">
              <w:rPr>
                <w:rFonts w:ascii="Arial" w:hAnsi="Arial" w:cs="Arial"/>
                <w:sz w:val="20"/>
                <w:szCs w:val="20"/>
              </w:rPr>
              <w:t>)</w:t>
            </w:r>
          </w:p>
        </w:tc>
      </w:tr>
      <w:tr w:rsidR="00367AFF" w:rsidRPr="008A383B" w:rsidTr="00367AFF">
        <w:trPr>
          <w:trHeight w:val="283"/>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Tax paid</w:t>
            </w:r>
          </w:p>
        </w:tc>
        <w:tc>
          <w:tcPr>
            <w:tcW w:w="1275" w:type="dxa"/>
            <w:tcBorders>
              <w:top w:val="nil"/>
              <w:left w:val="nil"/>
              <w:bottom w:val="nil"/>
              <w:right w:val="nil"/>
            </w:tcBorders>
            <w:vAlign w:val="bottom"/>
          </w:tcPr>
          <w:p w:rsidR="00367AFF"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(0.8</w:t>
            </w:r>
            <w:r w:rsidRPr="008A383B">
              <w:rPr>
                <w:rFonts w:ascii="Arial" w:hAnsi="Arial" w:cs="Arial"/>
                <w:sz w:val="20"/>
                <w:szCs w:val="20"/>
              </w:rPr>
              <w:t>)</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(0.7</w:t>
            </w:r>
            <w:r w:rsidRPr="008A383B">
              <w:rPr>
                <w:rFonts w:ascii="Arial" w:hAnsi="Arial" w:cs="Arial"/>
                <w:sz w:val="20"/>
                <w:szCs w:val="20"/>
              </w:rPr>
              <w:t>)</w:t>
            </w:r>
          </w:p>
        </w:tc>
      </w:tr>
      <w:tr w:rsidR="00367AFF" w:rsidRPr="008A383B" w:rsidTr="00367AFF">
        <w:trPr>
          <w:trHeight w:val="283"/>
        </w:trPr>
        <w:tc>
          <w:tcPr>
            <w:tcW w:w="5329" w:type="dxa"/>
            <w:tcBorders>
              <w:top w:val="nil"/>
              <w:left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Other</w:t>
            </w:r>
          </w:p>
        </w:tc>
        <w:tc>
          <w:tcPr>
            <w:tcW w:w="1275" w:type="dxa"/>
            <w:tcBorders>
              <w:top w:val="nil"/>
              <w:left w:val="nil"/>
              <w:right w:val="nil"/>
            </w:tcBorders>
            <w:vAlign w:val="bottom"/>
          </w:tcPr>
          <w:p w:rsidR="00367AFF"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0.3</w:t>
            </w:r>
          </w:p>
        </w:tc>
        <w:tc>
          <w:tcPr>
            <w:tcW w:w="1275" w:type="dxa"/>
            <w:tcBorders>
              <w:top w:val="nil"/>
              <w:left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(0.2</w:t>
            </w:r>
            <w:r w:rsidRPr="008A383B">
              <w:rPr>
                <w:rFonts w:ascii="Arial" w:hAnsi="Arial" w:cs="Arial"/>
                <w:sz w:val="20"/>
                <w:szCs w:val="20"/>
              </w:rPr>
              <w:t>)</w:t>
            </w:r>
          </w:p>
        </w:tc>
      </w:tr>
      <w:tr w:rsidR="00367AFF" w:rsidRPr="008A383B" w:rsidTr="00367AFF">
        <w:trPr>
          <w:trHeight w:val="31"/>
        </w:trPr>
        <w:tc>
          <w:tcPr>
            <w:tcW w:w="5329"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8A383B" w:rsidTr="00367AFF">
        <w:trPr>
          <w:trHeight w:val="259"/>
        </w:trPr>
        <w:tc>
          <w:tcPr>
            <w:tcW w:w="5329" w:type="dxa"/>
            <w:tcBorders>
              <w:top w:val="single" w:sz="4" w:space="0" w:color="auto"/>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p>
        </w:tc>
        <w:tc>
          <w:tcPr>
            <w:tcW w:w="1275" w:type="dxa"/>
            <w:tcBorders>
              <w:top w:val="single" w:sz="4" w:space="0" w:color="auto"/>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8A383B" w:rsidTr="00367AFF">
        <w:trPr>
          <w:trHeight w:val="200"/>
        </w:trPr>
        <w:tc>
          <w:tcPr>
            <w:tcW w:w="5329" w:type="dxa"/>
            <w:tcBorders>
              <w:top w:val="nil"/>
              <w:left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 xml:space="preserve">Net cash </w:t>
            </w:r>
            <w:r>
              <w:rPr>
                <w:rFonts w:ascii="Arial" w:hAnsi="Arial" w:cs="Arial"/>
                <w:sz w:val="20"/>
                <w:szCs w:val="20"/>
              </w:rPr>
              <w:t>in</w:t>
            </w:r>
            <w:r w:rsidRPr="008A383B">
              <w:rPr>
                <w:rFonts w:ascii="Arial" w:hAnsi="Arial" w:cs="Arial"/>
                <w:sz w:val="20"/>
                <w:szCs w:val="20"/>
              </w:rPr>
              <w:t>flow from operating activities</w:t>
            </w:r>
          </w:p>
        </w:tc>
        <w:tc>
          <w:tcPr>
            <w:tcW w:w="1275" w:type="dxa"/>
            <w:tcBorders>
              <w:top w:val="nil"/>
              <w:left w:val="nil"/>
              <w:right w:val="nil"/>
            </w:tcBorders>
            <w:vAlign w:val="bottom"/>
          </w:tcPr>
          <w:p w:rsidR="00367AFF"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2.8</w:t>
            </w:r>
          </w:p>
        </w:tc>
        <w:tc>
          <w:tcPr>
            <w:tcW w:w="1275" w:type="dxa"/>
            <w:tcBorders>
              <w:top w:val="nil"/>
              <w:left w:val="nil"/>
              <w:right w:val="nil"/>
            </w:tcBorders>
            <w:vAlign w:val="bottom"/>
          </w:tcPr>
          <w:p w:rsidR="00367AFF" w:rsidRPr="008A383B"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3.5</w:t>
            </w:r>
          </w:p>
        </w:tc>
      </w:tr>
      <w:tr w:rsidR="00367AFF" w:rsidRPr="008A383B" w:rsidTr="00367AFF">
        <w:trPr>
          <w:trHeight w:val="31"/>
        </w:trPr>
        <w:tc>
          <w:tcPr>
            <w:tcW w:w="5329"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8A383B" w:rsidTr="00367AFF">
        <w:trPr>
          <w:trHeight w:val="259"/>
        </w:trPr>
        <w:tc>
          <w:tcPr>
            <w:tcW w:w="5329" w:type="dxa"/>
            <w:tcBorders>
              <w:top w:val="single" w:sz="4" w:space="0" w:color="auto"/>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p>
        </w:tc>
        <w:tc>
          <w:tcPr>
            <w:tcW w:w="1275" w:type="dxa"/>
            <w:tcBorders>
              <w:top w:val="single" w:sz="4" w:space="0" w:color="auto"/>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8A383B" w:rsidTr="00367AFF">
        <w:trPr>
          <w:trHeight w:val="200"/>
        </w:trPr>
        <w:tc>
          <w:tcPr>
            <w:tcW w:w="5329" w:type="dxa"/>
            <w:tcBorders>
              <w:top w:val="nil"/>
              <w:left w:val="nil"/>
              <w:bottom w:val="nil"/>
              <w:right w:val="nil"/>
            </w:tcBorders>
            <w:vAlign w:val="bottom"/>
          </w:tcPr>
          <w:p w:rsidR="00367AFF" w:rsidRPr="008A383B" w:rsidRDefault="00E32341" w:rsidP="000C5CEA">
            <w:pPr>
              <w:widowControl w:val="0"/>
              <w:autoSpaceDE w:val="0"/>
              <w:autoSpaceDN w:val="0"/>
              <w:adjustRightInd w:val="0"/>
              <w:spacing w:after="0" w:line="200" w:lineRule="exact"/>
              <w:ind w:left="20"/>
              <w:rPr>
                <w:rFonts w:ascii="Arial" w:hAnsi="Arial" w:cs="Arial"/>
                <w:sz w:val="20"/>
                <w:szCs w:val="20"/>
              </w:rPr>
            </w:pPr>
            <w:r>
              <w:rPr>
                <w:rFonts w:ascii="Arial" w:hAnsi="Arial" w:cs="Arial"/>
                <w:sz w:val="20"/>
                <w:szCs w:val="20"/>
              </w:rPr>
              <w:t>Net p</w:t>
            </w:r>
            <w:r w:rsidR="00367AFF" w:rsidRPr="008A383B">
              <w:rPr>
                <w:rFonts w:ascii="Arial" w:hAnsi="Arial" w:cs="Arial"/>
                <w:sz w:val="20"/>
                <w:szCs w:val="20"/>
              </w:rPr>
              <w:t xml:space="preserve">roceeds </w:t>
            </w:r>
            <w:r w:rsidR="00047E65">
              <w:rPr>
                <w:rFonts w:ascii="Arial" w:hAnsi="Arial" w:cs="Arial"/>
                <w:sz w:val="20"/>
                <w:szCs w:val="20"/>
              </w:rPr>
              <w:t>of</w:t>
            </w:r>
            <w:r w:rsidR="00367AFF" w:rsidRPr="008A383B">
              <w:rPr>
                <w:rFonts w:ascii="Arial" w:hAnsi="Arial" w:cs="Arial"/>
                <w:sz w:val="20"/>
                <w:szCs w:val="20"/>
              </w:rPr>
              <w:t xml:space="preserve"> shares issued</w:t>
            </w:r>
            <w:r w:rsidR="00367AFF">
              <w:rPr>
                <w:rFonts w:ascii="Arial" w:hAnsi="Arial" w:cs="Arial"/>
                <w:sz w:val="20"/>
                <w:szCs w:val="20"/>
              </w:rPr>
              <w:t xml:space="preserve"> </w:t>
            </w:r>
          </w:p>
        </w:tc>
        <w:tc>
          <w:tcPr>
            <w:tcW w:w="1275" w:type="dxa"/>
            <w:tcBorders>
              <w:top w:val="nil"/>
              <w:left w:val="nil"/>
              <w:bottom w:val="nil"/>
              <w:right w:val="nil"/>
            </w:tcBorders>
            <w:vAlign w:val="bottom"/>
          </w:tcPr>
          <w:p w:rsidR="00367AFF" w:rsidRDefault="00367AFF" w:rsidP="000C5CEA">
            <w:pPr>
              <w:widowControl w:val="0"/>
              <w:autoSpaceDE w:val="0"/>
              <w:autoSpaceDN w:val="0"/>
              <w:adjustRightInd w:val="0"/>
              <w:spacing w:after="0" w:line="200" w:lineRule="exact"/>
              <w:ind w:right="162"/>
              <w:jc w:val="right"/>
              <w:rPr>
                <w:rFonts w:ascii="Arial" w:hAnsi="Arial" w:cs="Arial"/>
                <w:sz w:val="20"/>
                <w:szCs w:val="20"/>
              </w:rPr>
            </w:pPr>
            <w:r>
              <w:rPr>
                <w:rFonts w:ascii="Arial" w:hAnsi="Arial" w:cs="Arial"/>
                <w:sz w:val="20"/>
                <w:szCs w:val="20"/>
              </w:rPr>
              <w:t>-</w:t>
            </w:r>
          </w:p>
        </w:tc>
        <w:tc>
          <w:tcPr>
            <w:tcW w:w="1275" w:type="dxa"/>
            <w:tcBorders>
              <w:top w:val="nil"/>
              <w:left w:val="nil"/>
              <w:bottom w:val="nil"/>
              <w:right w:val="nil"/>
            </w:tcBorders>
            <w:vAlign w:val="bottom"/>
          </w:tcPr>
          <w:p w:rsidR="00367AFF" w:rsidRPr="008A383B" w:rsidRDefault="00367AFF" w:rsidP="000C5CEA">
            <w:pPr>
              <w:widowControl w:val="0"/>
              <w:autoSpaceDE w:val="0"/>
              <w:autoSpaceDN w:val="0"/>
              <w:adjustRightInd w:val="0"/>
              <w:spacing w:after="0" w:line="200" w:lineRule="exact"/>
              <w:ind w:right="162"/>
              <w:jc w:val="right"/>
              <w:rPr>
                <w:rFonts w:ascii="Arial" w:hAnsi="Arial" w:cs="Arial"/>
                <w:sz w:val="20"/>
                <w:szCs w:val="20"/>
              </w:rPr>
            </w:pPr>
            <w:r>
              <w:rPr>
                <w:rFonts w:ascii="Arial" w:hAnsi="Arial" w:cs="Arial"/>
                <w:sz w:val="20"/>
                <w:szCs w:val="20"/>
              </w:rPr>
              <w:t>9.</w:t>
            </w:r>
            <w:r w:rsidR="000C5CEA">
              <w:rPr>
                <w:rFonts w:ascii="Arial" w:hAnsi="Arial" w:cs="Arial"/>
                <w:sz w:val="20"/>
                <w:szCs w:val="20"/>
              </w:rPr>
              <w:t>2</w:t>
            </w:r>
          </w:p>
        </w:tc>
      </w:tr>
      <w:tr w:rsidR="00367AFF" w:rsidRPr="008A383B" w:rsidTr="00367AFF">
        <w:trPr>
          <w:trHeight w:val="283"/>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Sale of 1.2</w:t>
            </w:r>
            <w:r w:rsidRPr="008A383B">
              <w:rPr>
                <w:rFonts w:ascii="Arial" w:hAnsi="Arial" w:cs="Arial"/>
                <w:sz w:val="20"/>
                <w:szCs w:val="20"/>
              </w:rPr>
              <w:t xml:space="preserve"> million FOGL shares</w:t>
            </w:r>
          </w:p>
        </w:tc>
        <w:tc>
          <w:tcPr>
            <w:tcW w:w="1275" w:type="dxa"/>
            <w:tcBorders>
              <w:top w:val="nil"/>
              <w:left w:val="nil"/>
              <w:bottom w:val="nil"/>
              <w:right w:val="nil"/>
            </w:tcBorders>
            <w:vAlign w:val="bottom"/>
          </w:tcPr>
          <w:p w:rsidR="00367AFF"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w:t>
            </w:r>
          </w:p>
        </w:tc>
        <w:tc>
          <w:tcPr>
            <w:tcW w:w="1275" w:type="dxa"/>
            <w:tcBorders>
              <w:top w:val="nil"/>
              <w:left w:val="nil"/>
              <w:bottom w:val="nil"/>
              <w:right w:val="nil"/>
            </w:tcBorders>
            <w:vAlign w:val="bottom"/>
          </w:tcPr>
          <w:p w:rsidR="00367AFF" w:rsidRPr="008A383B" w:rsidRDefault="00367AFF" w:rsidP="000C5CEA">
            <w:pPr>
              <w:widowControl w:val="0"/>
              <w:autoSpaceDE w:val="0"/>
              <w:autoSpaceDN w:val="0"/>
              <w:adjustRightInd w:val="0"/>
              <w:spacing w:after="0" w:line="240" w:lineRule="auto"/>
              <w:ind w:right="141"/>
              <w:jc w:val="right"/>
              <w:rPr>
                <w:rFonts w:ascii="Arial" w:hAnsi="Arial" w:cs="Arial"/>
                <w:sz w:val="20"/>
                <w:szCs w:val="20"/>
              </w:rPr>
            </w:pPr>
            <w:r>
              <w:rPr>
                <w:rFonts w:ascii="Arial" w:hAnsi="Arial" w:cs="Arial"/>
                <w:sz w:val="20"/>
                <w:szCs w:val="20"/>
              </w:rPr>
              <w:t>1.0</w:t>
            </w:r>
          </w:p>
        </w:tc>
      </w:tr>
      <w:tr w:rsidR="00367AFF" w:rsidRPr="008A383B" w:rsidTr="00367AFF">
        <w:trPr>
          <w:trHeight w:val="283"/>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i/>
                <w:iCs/>
                <w:sz w:val="20"/>
                <w:szCs w:val="20"/>
              </w:rPr>
              <w:t>Less:</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8A383B" w:rsidTr="00367AFF">
        <w:trPr>
          <w:trHeight w:val="283"/>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Dividends paid</w:t>
            </w:r>
          </w:p>
        </w:tc>
        <w:tc>
          <w:tcPr>
            <w:tcW w:w="1275" w:type="dxa"/>
            <w:tcBorders>
              <w:top w:val="nil"/>
              <w:left w:val="nil"/>
              <w:bottom w:val="nil"/>
              <w:right w:val="nil"/>
            </w:tcBorders>
            <w:vAlign w:val="bottom"/>
          </w:tcPr>
          <w:p w:rsidR="00367AFF"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(1.4</w:t>
            </w:r>
            <w:r w:rsidRPr="008A383B">
              <w:rPr>
                <w:rFonts w:ascii="Arial" w:hAnsi="Arial" w:cs="Arial"/>
                <w:sz w:val="20"/>
                <w:szCs w:val="20"/>
              </w:rPr>
              <w:t>)</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(1.4</w:t>
            </w:r>
            <w:r w:rsidRPr="008A383B">
              <w:rPr>
                <w:rFonts w:ascii="Arial" w:hAnsi="Arial" w:cs="Arial"/>
                <w:sz w:val="20"/>
                <w:szCs w:val="20"/>
              </w:rPr>
              <w:t>)</w:t>
            </w:r>
          </w:p>
        </w:tc>
      </w:tr>
      <w:tr w:rsidR="00367AFF" w:rsidRPr="008A383B" w:rsidTr="00367AFF">
        <w:trPr>
          <w:trHeight w:val="283"/>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Capital expenditure</w:t>
            </w:r>
          </w:p>
        </w:tc>
        <w:tc>
          <w:tcPr>
            <w:tcW w:w="1275" w:type="dxa"/>
            <w:tcBorders>
              <w:top w:val="nil"/>
              <w:left w:val="nil"/>
              <w:bottom w:val="nil"/>
              <w:right w:val="nil"/>
            </w:tcBorders>
            <w:vAlign w:val="bottom"/>
          </w:tcPr>
          <w:p w:rsidR="00367AFF"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(5.0</w:t>
            </w:r>
            <w:r w:rsidRPr="008A383B">
              <w:rPr>
                <w:rFonts w:ascii="Arial" w:hAnsi="Arial" w:cs="Arial"/>
                <w:sz w:val="20"/>
                <w:szCs w:val="20"/>
              </w:rPr>
              <w:t>)</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(2.4</w:t>
            </w:r>
            <w:r w:rsidRPr="008A383B">
              <w:rPr>
                <w:rFonts w:ascii="Arial" w:hAnsi="Arial" w:cs="Arial"/>
                <w:sz w:val="20"/>
                <w:szCs w:val="20"/>
              </w:rPr>
              <w:t>)</w:t>
            </w:r>
          </w:p>
        </w:tc>
      </w:tr>
      <w:tr w:rsidR="00367AFF" w:rsidRPr="008A383B" w:rsidTr="00367AFF">
        <w:trPr>
          <w:trHeight w:val="283"/>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 xml:space="preserve">Net bank interest </w:t>
            </w:r>
            <w:r>
              <w:rPr>
                <w:rFonts w:ascii="Arial" w:hAnsi="Arial" w:cs="Arial"/>
                <w:sz w:val="20"/>
                <w:szCs w:val="20"/>
              </w:rPr>
              <w:t xml:space="preserve">received </w:t>
            </w:r>
          </w:p>
        </w:tc>
        <w:tc>
          <w:tcPr>
            <w:tcW w:w="1275" w:type="dxa"/>
            <w:tcBorders>
              <w:top w:val="nil"/>
              <w:left w:val="nil"/>
              <w:bottom w:val="nil"/>
              <w:right w:val="nil"/>
            </w:tcBorders>
            <w:vAlign w:val="bottom"/>
          </w:tcPr>
          <w:p w:rsidR="00367AFF"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0.1</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0.1</w:t>
            </w:r>
          </w:p>
        </w:tc>
      </w:tr>
      <w:tr w:rsidR="00367AFF" w:rsidRPr="008A383B" w:rsidTr="00367AFF">
        <w:trPr>
          <w:trHeight w:val="283"/>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Disposal of PHFC pension scheme</w:t>
            </w:r>
          </w:p>
        </w:tc>
        <w:tc>
          <w:tcPr>
            <w:tcW w:w="1275" w:type="dxa"/>
            <w:tcBorders>
              <w:top w:val="nil"/>
              <w:left w:val="nil"/>
              <w:bottom w:val="nil"/>
              <w:right w:val="nil"/>
            </w:tcBorders>
            <w:vAlign w:val="bottom"/>
          </w:tcPr>
          <w:p w:rsidR="00367AFF"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(0.3</w:t>
            </w:r>
            <w:r w:rsidRPr="008A383B">
              <w:rPr>
                <w:rFonts w:ascii="Arial" w:hAnsi="Arial" w:cs="Arial"/>
                <w:sz w:val="20"/>
                <w:szCs w:val="20"/>
              </w:rPr>
              <w:t>)</w:t>
            </w:r>
          </w:p>
        </w:tc>
      </w:tr>
      <w:tr w:rsidR="00367AFF" w:rsidRPr="008A383B" w:rsidTr="00367AFF">
        <w:trPr>
          <w:trHeight w:val="283"/>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 xml:space="preserve">Loan </w:t>
            </w:r>
            <w:r>
              <w:rPr>
                <w:rFonts w:ascii="Arial" w:hAnsi="Arial" w:cs="Arial"/>
                <w:sz w:val="20"/>
                <w:szCs w:val="20"/>
              </w:rPr>
              <w:t>to joint venture</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(0.5</w:t>
            </w:r>
            <w:r w:rsidRPr="008A383B">
              <w:rPr>
                <w:rFonts w:ascii="Arial" w:hAnsi="Arial" w:cs="Arial"/>
                <w:sz w:val="20"/>
                <w:szCs w:val="20"/>
              </w:rPr>
              <w:t>)</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w:t>
            </w:r>
          </w:p>
        </w:tc>
      </w:tr>
      <w:tr w:rsidR="00367AFF" w:rsidRPr="008A383B" w:rsidTr="00367AFF">
        <w:trPr>
          <w:trHeight w:val="283"/>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Net cash outflow on sale &amp; purchase of treasury shares</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(0.1</w:t>
            </w:r>
            <w:r w:rsidRPr="008A383B">
              <w:rPr>
                <w:rFonts w:ascii="Arial" w:hAnsi="Arial" w:cs="Arial"/>
                <w:sz w:val="20"/>
                <w:szCs w:val="20"/>
              </w:rPr>
              <w:t>)</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w:t>
            </w:r>
          </w:p>
        </w:tc>
      </w:tr>
      <w:tr w:rsidR="00367AFF" w:rsidRPr="008A383B" w:rsidTr="00367AFF">
        <w:trPr>
          <w:trHeight w:val="283"/>
        </w:trPr>
        <w:tc>
          <w:tcPr>
            <w:tcW w:w="5329"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Loan repayments</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(1.4</w:t>
            </w:r>
            <w:r w:rsidRPr="008A383B">
              <w:rPr>
                <w:rFonts w:ascii="Arial" w:hAnsi="Arial" w:cs="Arial"/>
                <w:sz w:val="20"/>
                <w:szCs w:val="20"/>
              </w:rPr>
              <w:t>)</w:t>
            </w:r>
          </w:p>
        </w:tc>
        <w:tc>
          <w:tcPr>
            <w:tcW w:w="1275" w:type="dxa"/>
            <w:tcBorders>
              <w:top w:val="nil"/>
              <w:left w:val="nil"/>
              <w:bottom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sidRPr="008A383B">
              <w:rPr>
                <w:rFonts w:ascii="Arial" w:hAnsi="Arial" w:cs="Arial"/>
                <w:sz w:val="20"/>
                <w:szCs w:val="20"/>
              </w:rPr>
              <w:t>(1.1)</w:t>
            </w:r>
          </w:p>
        </w:tc>
      </w:tr>
      <w:tr w:rsidR="00367AFF" w:rsidRPr="008A383B" w:rsidTr="00367AFF">
        <w:trPr>
          <w:trHeight w:val="283"/>
        </w:trPr>
        <w:tc>
          <w:tcPr>
            <w:tcW w:w="5329" w:type="dxa"/>
            <w:tcBorders>
              <w:top w:val="nil"/>
              <w:left w:val="nil"/>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Increase in hire purchase debtors</w:t>
            </w:r>
          </w:p>
        </w:tc>
        <w:tc>
          <w:tcPr>
            <w:tcW w:w="1275" w:type="dxa"/>
            <w:tcBorders>
              <w:top w:val="nil"/>
              <w:left w:val="nil"/>
              <w:right w:val="nil"/>
            </w:tcBorders>
            <w:vAlign w:val="bottom"/>
          </w:tcPr>
          <w:p w:rsidR="00367AFF"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(0.2)</w:t>
            </w:r>
          </w:p>
        </w:tc>
        <w:tc>
          <w:tcPr>
            <w:tcW w:w="1275" w:type="dxa"/>
            <w:tcBorders>
              <w:top w:val="nil"/>
              <w:left w:val="nil"/>
              <w:right w:val="nil"/>
            </w:tcBorders>
            <w:vAlign w:val="bottom"/>
          </w:tcPr>
          <w:p w:rsidR="00367AFF" w:rsidRPr="008A383B" w:rsidRDefault="00367AFF" w:rsidP="00367AFF">
            <w:pPr>
              <w:widowControl w:val="0"/>
              <w:autoSpaceDE w:val="0"/>
              <w:autoSpaceDN w:val="0"/>
              <w:adjustRightInd w:val="0"/>
              <w:spacing w:after="0" w:line="240" w:lineRule="auto"/>
              <w:ind w:right="102"/>
              <w:jc w:val="right"/>
              <w:rPr>
                <w:rFonts w:ascii="Arial" w:hAnsi="Arial" w:cs="Arial"/>
                <w:sz w:val="20"/>
                <w:szCs w:val="20"/>
              </w:rPr>
            </w:pPr>
            <w:r>
              <w:rPr>
                <w:rFonts w:ascii="Arial" w:hAnsi="Arial" w:cs="Arial"/>
                <w:sz w:val="20"/>
                <w:szCs w:val="20"/>
              </w:rPr>
              <w:t>(0.1</w:t>
            </w:r>
            <w:r w:rsidRPr="008A383B">
              <w:rPr>
                <w:rFonts w:ascii="Arial" w:hAnsi="Arial" w:cs="Arial"/>
                <w:sz w:val="20"/>
                <w:szCs w:val="20"/>
              </w:rPr>
              <w:t>)</w:t>
            </w:r>
          </w:p>
        </w:tc>
      </w:tr>
      <w:tr w:rsidR="00367AFF" w:rsidRPr="008A383B" w:rsidTr="00367AFF">
        <w:trPr>
          <w:trHeight w:val="283"/>
        </w:trPr>
        <w:tc>
          <w:tcPr>
            <w:tcW w:w="5329"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ind w:left="20"/>
              <w:rPr>
                <w:rFonts w:ascii="Arial" w:hAnsi="Arial" w:cs="Arial"/>
                <w:sz w:val="20"/>
                <w:szCs w:val="20"/>
              </w:rPr>
            </w:pPr>
            <w:r w:rsidRPr="008A383B">
              <w:rPr>
                <w:rFonts w:ascii="Arial" w:hAnsi="Arial" w:cs="Arial"/>
                <w:sz w:val="20"/>
                <w:szCs w:val="20"/>
              </w:rPr>
              <w:t>Financing draw down loans</w:t>
            </w:r>
          </w:p>
        </w:tc>
        <w:tc>
          <w:tcPr>
            <w:tcW w:w="1275" w:type="dxa"/>
            <w:tcBorders>
              <w:top w:val="nil"/>
              <w:left w:val="nil"/>
              <w:bottom w:val="single" w:sz="4" w:space="0" w:color="auto"/>
              <w:right w:val="nil"/>
            </w:tcBorders>
            <w:vAlign w:val="bottom"/>
          </w:tcPr>
          <w:p w:rsidR="00367AFF"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w:t>
            </w:r>
          </w:p>
        </w:tc>
        <w:tc>
          <w:tcPr>
            <w:tcW w:w="1275"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ind w:right="162"/>
              <w:jc w:val="right"/>
              <w:rPr>
                <w:rFonts w:ascii="Arial" w:hAnsi="Arial" w:cs="Arial"/>
                <w:sz w:val="20"/>
                <w:szCs w:val="20"/>
              </w:rPr>
            </w:pPr>
            <w:r>
              <w:rPr>
                <w:rFonts w:ascii="Arial" w:hAnsi="Arial" w:cs="Arial"/>
                <w:sz w:val="20"/>
                <w:szCs w:val="20"/>
              </w:rPr>
              <w:t>0.1</w:t>
            </w:r>
          </w:p>
        </w:tc>
      </w:tr>
      <w:tr w:rsidR="00367AFF" w:rsidRPr="008A383B" w:rsidTr="00367AFF">
        <w:trPr>
          <w:trHeight w:val="283"/>
        </w:trPr>
        <w:tc>
          <w:tcPr>
            <w:tcW w:w="5329" w:type="dxa"/>
            <w:tcBorders>
              <w:top w:val="single" w:sz="4" w:space="0" w:color="auto"/>
              <w:left w:val="nil"/>
              <w:right w:val="nil"/>
            </w:tcBorders>
            <w:vAlign w:val="bottom"/>
          </w:tcPr>
          <w:p w:rsidR="00367AFF" w:rsidRPr="008A383B" w:rsidRDefault="00367AFF" w:rsidP="00367AFF">
            <w:pPr>
              <w:widowControl w:val="0"/>
              <w:autoSpaceDE w:val="0"/>
              <w:autoSpaceDN w:val="0"/>
              <w:adjustRightInd w:val="0"/>
              <w:spacing w:after="0" w:line="183" w:lineRule="exact"/>
              <w:ind w:left="20"/>
              <w:rPr>
                <w:rFonts w:ascii="Arial" w:hAnsi="Arial" w:cs="Arial"/>
                <w:sz w:val="20"/>
                <w:szCs w:val="20"/>
              </w:rPr>
            </w:pPr>
            <w:r>
              <w:rPr>
                <w:rFonts w:ascii="Arial" w:hAnsi="Arial" w:cs="Arial"/>
                <w:sz w:val="20"/>
                <w:szCs w:val="20"/>
              </w:rPr>
              <w:t>Net (outflow) / inflow from financing and investing activities</w:t>
            </w:r>
          </w:p>
        </w:tc>
        <w:tc>
          <w:tcPr>
            <w:tcW w:w="1275" w:type="dxa"/>
            <w:tcBorders>
              <w:top w:val="single" w:sz="4" w:space="0" w:color="auto"/>
              <w:left w:val="nil"/>
              <w:right w:val="nil"/>
            </w:tcBorders>
            <w:vAlign w:val="bottom"/>
          </w:tcPr>
          <w:p w:rsidR="00367AFF" w:rsidRDefault="00367AFF" w:rsidP="00367AFF">
            <w:pPr>
              <w:widowControl w:val="0"/>
              <w:autoSpaceDE w:val="0"/>
              <w:autoSpaceDN w:val="0"/>
              <w:adjustRightInd w:val="0"/>
              <w:spacing w:after="0" w:line="183" w:lineRule="exact"/>
              <w:ind w:right="102"/>
              <w:jc w:val="right"/>
              <w:rPr>
                <w:rFonts w:ascii="Arial" w:hAnsi="Arial" w:cs="Arial"/>
                <w:sz w:val="20"/>
                <w:szCs w:val="20"/>
              </w:rPr>
            </w:pPr>
            <w:r>
              <w:rPr>
                <w:rFonts w:ascii="Arial" w:hAnsi="Arial" w:cs="Arial"/>
                <w:sz w:val="20"/>
                <w:szCs w:val="20"/>
              </w:rPr>
              <w:t>(8.5)</w:t>
            </w:r>
          </w:p>
        </w:tc>
        <w:tc>
          <w:tcPr>
            <w:tcW w:w="1275" w:type="dxa"/>
            <w:tcBorders>
              <w:top w:val="single" w:sz="4" w:space="0" w:color="auto"/>
              <w:left w:val="nil"/>
              <w:right w:val="nil"/>
            </w:tcBorders>
            <w:vAlign w:val="bottom"/>
          </w:tcPr>
          <w:p w:rsidR="00367AFF" w:rsidRPr="008A383B" w:rsidRDefault="00367AFF" w:rsidP="00367AFF">
            <w:pPr>
              <w:widowControl w:val="0"/>
              <w:autoSpaceDE w:val="0"/>
              <w:autoSpaceDN w:val="0"/>
              <w:adjustRightInd w:val="0"/>
              <w:spacing w:after="0" w:line="183" w:lineRule="exact"/>
              <w:ind w:right="102"/>
              <w:jc w:val="right"/>
              <w:rPr>
                <w:rFonts w:ascii="Arial" w:hAnsi="Arial" w:cs="Arial"/>
                <w:sz w:val="20"/>
                <w:szCs w:val="20"/>
              </w:rPr>
            </w:pPr>
            <w:r>
              <w:rPr>
                <w:rFonts w:ascii="Arial" w:hAnsi="Arial" w:cs="Arial"/>
                <w:sz w:val="20"/>
                <w:szCs w:val="20"/>
              </w:rPr>
              <w:t>5.1</w:t>
            </w:r>
          </w:p>
        </w:tc>
      </w:tr>
      <w:tr w:rsidR="00367AFF" w:rsidRPr="008A383B" w:rsidTr="00367AFF">
        <w:trPr>
          <w:trHeight w:val="31"/>
        </w:trPr>
        <w:tc>
          <w:tcPr>
            <w:tcW w:w="5329"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8A383B" w:rsidTr="00367AFF">
        <w:trPr>
          <w:trHeight w:val="232"/>
        </w:trPr>
        <w:tc>
          <w:tcPr>
            <w:tcW w:w="5329" w:type="dxa"/>
            <w:tcBorders>
              <w:top w:val="single" w:sz="4" w:space="0" w:color="auto"/>
              <w:left w:val="nil"/>
              <w:bottom w:val="nil"/>
              <w:right w:val="nil"/>
            </w:tcBorders>
            <w:vAlign w:val="bottom"/>
          </w:tcPr>
          <w:p w:rsidR="00367AFF" w:rsidRPr="008A383B" w:rsidRDefault="00367AFF" w:rsidP="00367AFF">
            <w:pPr>
              <w:widowControl w:val="0"/>
              <w:autoSpaceDE w:val="0"/>
              <w:autoSpaceDN w:val="0"/>
              <w:adjustRightInd w:val="0"/>
              <w:spacing w:after="0" w:line="183" w:lineRule="exact"/>
              <w:ind w:left="20"/>
              <w:rPr>
                <w:rFonts w:ascii="Arial" w:hAnsi="Arial" w:cs="Arial"/>
                <w:sz w:val="20"/>
                <w:szCs w:val="20"/>
              </w:rPr>
            </w:pPr>
            <w:r w:rsidRPr="008A383B">
              <w:rPr>
                <w:rFonts w:ascii="Arial" w:hAnsi="Arial" w:cs="Arial"/>
                <w:sz w:val="20"/>
                <w:szCs w:val="20"/>
              </w:rPr>
              <w:t xml:space="preserve">Net cash </w:t>
            </w:r>
            <w:r>
              <w:rPr>
                <w:rFonts w:ascii="Arial" w:hAnsi="Arial" w:cs="Arial"/>
                <w:sz w:val="20"/>
                <w:szCs w:val="20"/>
              </w:rPr>
              <w:t>(out</w:t>
            </w:r>
            <w:r w:rsidRPr="008A383B">
              <w:rPr>
                <w:rFonts w:ascii="Arial" w:hAnsi="Arial" w:cs="Arial"/>
                <w:sz w:val="20"/>
                <w:szCs w:val="20"/>
              </w:rPr>
              <w:t>flow</w:t>
            </w:r>
            <w:r>
              <w:rPr>
                <w:rFonts w:ascii="Arial" w:hAnsi="Arial" w:cs="Arial"/>
                <w:sz w:val="20"/>
                <w:szCs w:val="20"/>
              </w:rPr>
              <w:t>) / inflow</w:t>
            </w:r>
          </w:p>
        </w:tc>
        <w:tc>
          <w:tcPr>
            <w:tcW w:w="1275" w:type="dxa"/>
            <w:tcBorders>
              <w:top w:val="single" w:sz="4" w:space="0" w:color="auto"/>
              <w:left w:val="nil"/>
              <w:bottom w:val="nil"/>
              <w:right w:val="nil"/>
            </w:tcBorders>
            <w:vAlign w:val="bottom"/>
          </w:tcPr>
          <w:p w:rsidR="00367AFF" w:rsidRDefault="00367AFF" w:rsidP="00367AFF">
            <w:pPr>
              <w:widowControl w:val="0"/>
              <w:autoSpaceDE w:val="0"/>
              <w:autoSpaceDN w:val="0"/>
              <w:adjustRightInd w:val="0"/>
              <w:spacing w:after="0" w:line="183" w:lineRule="exact"/>
              <w:ind w:right="162"/>
              <w:jc w:val="right"/>
              <w:rPr>
                <w:rFonts w:ascii="Arial" w:hAnsi="Arial" w:cs="Arial"/>
                <w:sz w:val="20"/>
                <w:szCs w:val="20"/>
              </w:rPr>
            </w:pPr>
            <w:r>
              <w:rPr>
                <w:rFonts w:ascii="Arial" w:hAnsi="Arial" w:cs="Arial"/>
                <w:sz w:val="20"/>
                <w:szCs w:val="20"/>
              </w:rPr>
              <w:t>(5.7)</w:t>
            </w:r>
          </w:p>
        </w:tc>
        <w:tc>
          <w:tcPr>
            <w:tcW w:w="1275" w:type="dxa"/>
            <w:tcBorders>
              <w:top w:val="single" w:sz="4" w:space="0" w:color="auto"/>
              <w:left w:val="nil"/>
              <w:bottom w:val="nil"/>
              <w:right w:val="nil"/>
            </w:tcBorders>
            <w:vAlign w:val="bottom"/>
          </w:tcPr>
          <w:p w:rsidR="00367AFF" w:rsidRPr="008A383B" w:rsidRDefault="00367AFF" w:rsidP="00367AFF">
            <w:pPr>
              <w:widowControl w:val="0"/>
              <w:autoSpaceDE w:val="0"/>
              <w:autoSpaceDN w:val="0"/>
              <w:adjustRightInd w:val="0"/>
              <w:spacing w:after="0" w:line="183" w:lineRule="exact"/>
              <w:ind w:right="162"/>
              <w:jc w:val="right"/>
              <w:rPr>
                <w:rFonts w:ascii="Arial" w:hAnsi="Arial" w:cs="Arial"/>
                <w:sz w:val="20"/>
                <w:szCs w:val="20"/>
              </w:rPr>
            </w:pPr>
            <w:r>
              <w:rPr>
                <w:rFonts w:ascii="Arial" w:hAnsi="Arial" w:cs="Arial"/>
                <w:sz w:val="20"/>
                <w:szCs w:val="20"/>
              </w:rPr>
              <w:t>8.6</w:t>
            </w:r>
          </w:p>
        </w:tc>
      </w:tr>
      <w:tr w:rsidR="00367AFF" w:rsidRPr="008A383B" w:rsidTr="00367AFF">
        <w:trPr>
          <w:trHeight w:val="283"/>
        </w:trPr>
        <w:tc>
          <w:tcPr>
            <w:tcW w:w="5329" w:type="dxa"/>
            <w:tcBorders>
              <w:top w:val="nil"/>
              <w:left w:val="nil"/>
              <w:right w:val="nil"/>
            </w:tcBorders>
            <w:vAlign w:val="bottom"/>
          </w:tcPr>
          <w:p w:rsidR="00367AFF" w:rsidRPr="008A383B" w:rsidRDefault="00367AFF" w:rsidP="00DA414F">
            <w:pPr>
              <w:widowControl w:val="0"/>
              <w:autoSpaceDE w:val="0"/>
              <w:autoSpaceDN w:val="0"/>
              <w:adjustRightInd w:val="0"/>
              <w:spacing w:after="0" w:line="200" w:lineRule="exact"/>
              <w:ind w:left="20"/>
              <w:rPr>
                <w:rFonts w:ascii="Arial" w:hAnsi="Arial" w:cs="Arial"/>
                <w:sz w:val="20"/>
                <w:szCs w:val="20"/>
              </w:rPr>
            </w:pPr>
            <w:r w:rsidRPr="008A383B">
              <w:rPr>
                <w:rFonts w:ascii="Arial" w:hAnsi="Arial" w:cs="Arial"/>
                <w:sz w:val="20"/>
                <w:szCs w:val="20"/>
              </w:rPr>
              <w:t>Cash balance b/</w:t>
            </w:r>
            <w:proofErr w:type="spellStart"/>
            <w:r w:rsidRPr="008A383B">
              <w:rPr>
                <w:rFonts w:ascii="Arial" w:hAnsi="Arial" w:cs="Arial"/>
                <w:sz w:val="20"/>
                <w:szCs w:val="20"/>
              </w:rPr>
              <w:t>fwd</w:t>
            </w:r>
            <w:proofErr w:type="spellEnd"/>
          </w:p>
        </w:tc>
        <w:tc>
          <w:tcPr>
            <w:tcW w:w="1275" w:type="dxa"/>
            <w:tcBorders>
              <w:top w:val="nil"/>
              <w:left w:val="nil"/>
              <w:right w:val="nil"/>
            </w:tcBorders>
            <w:vAlign w:val="bottom"/>
          </w:tcPr>
          <w:p w:rsidR="00367AFF" w:rsidRDefault="00367AFF" w:rsidP="00DA414F">
            <w:pPr>
              <w:widowControl w:val="0"/>
              <w:autoSpaceDE w:val="0"/>
              <w:autoSpaceDN w:val="0"/>
              <w:adjustRightInd w:val="0"/>
              <w:spacing w:after="0" w:line="200" w:lineRule="exact"/>
              <w:ind w:right="162"/>
              <w:jc w:val="right"/>
              <w:rPr>
                <w:rFonts w:ascii="Arial" w:hAnsi="Arial" w:cs="Arial"/>
                <w:sz w:val="20"/>
                <w:szCs w:val="20"/>
              </w:rPr>
            </w:pPr>
            <w:r>
              <w:rPr>
                <w:rFonts w:ascii="Arial" w:hAnsi="Arial" w:cs="Arial"/>
                <w:sz w:val="20"/>
                <w:szCs w:val="20"/>
              </w:rPr>
              <w:t>11.4</w:t>
            </w:r>
          </w:p>
        </w:tc>
        <w:tc>
          <w:tcPr>
            <w:tcW w:w="1275" w:type="dxa"/>
            <w:tcBorders>
              <w:top w:val="nil"/>
              <w:left w:val="nil"/>
              <w:right w:val="nil"/>
            </w:tcBorders>
            <w:vAlign w:val="bottom"/>
          </w:tcPr>
          <w:p w:rsidR="00367AFF" w:rsidRPr="008A383B" w:rsidRDefault="00367AFF" w:rsidP="00DA414F">
            <w:pPr>
              <w:widowControl w:val="0"/>
              <w:autoSpaceDE w:val="0"/>
              <w:autoSpaceDN w:val="0"/>
              <w:adjustRightInd w:val="0"/>
              <w:spacing w:after="0" w:line="200" w:lineRule="exact"/>
              <w:ind w:right="162"/>
              <w:jc w:val="right"/>
              <w:rPr>
                <w:rFonts w:ascii="Arial" w:hAnsi="Arial" w:cs="Arial"/>
                <w:sz w:val="20"/>
                <w:szCs w:val="20"/>
              </w:rPr>
            </w:pPr>
            <w:r>
              <w:rPr>
                <w:rFonts w:ascii="Arial" w:hAnsi="Arial" w:cs="Arial"/>
                <w:sz w:val="20"/>
                <w:szCs w:val="20"/>
              </w:rPr>
              <w:t>2.8</w:t>
            </w:r>
          </w:p>
        </w:tc>
      </w:tr>
      <w:tr w:rsidR="00367AFF" w:rsidRPr="008A383B" w:rsidTr="00367AFF">
        <w:trPr>
          <w:trHeight w:val="31"/>
        </w:trPr>
        <w:tc>
          <w:tcPr>
            <w:tcW w:w="5329"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c>
          <w:tcPr>
            <w:tcW w:w="1275" w:type="dxa"/>
            <w:tcBorders>
              <w:top w:val="nil"/>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tc>
      </w:tr>
      <w:tr w:rsidR="00367AFF" w:rsidRPr="008A383B" w:rsidTr="00367AFF">
        <w:trPr>
          <w:trHeight w:val="292"/>
        </w:trPr>
        <w:tc>
          <w:tcPr>
            <w:tcW w:w="5329" w:type="dxa"/>
            <w:tcBorders>
              <w:top w:val="single" w:sz="4" w:space="0" w:color="auto"/>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183" w:lineRule="exact"/>
              <w:ind w:left="20"/>
              <w:rPr>
                <w:rFonts w:ascii="Arial" w:hAnsi="Arial" w:cs="Arial"/>
                <w:sz w:val="20"/>
                <w:szCs w:val="20"/>
              </w:rPr>
            </w:pPr>
            <w:r w:rsidRPr="008A383B">
              <w:rPr>
                <w:rFonts w:ascii="Arial" w:hAnsi="Arial" w:cs="Arial"/>
                <w:sz w:val="20"/>
                <w:szCs w:val="20"/>
              </w:rPr>
              <w:t>Cash balance c/</w:t>
            </w:r>
            <w:proofErr w:type="spellStart"/>
            <w:r w:rsidRPr="008A383B">
              <w:rPr>
                <w:rFonts w:ascii="Arial" w:hAnsi="Arial" w:cs="Arial"/>
                <w:sz w:val="20"/>
                <w:szCs w:val="20"/>
              </w:rPr>
              <w:t>fwd</w:t>
            </w:r>
            <w:proofErr w:type="spellEnd"/>
          </w:p>
        </w:tc>
        <w:tc>
          <w:tcPr>
            <w:tcW w:w="1275" w:type="dxa"/>
            <w:tcBorders>
              <w:top w:val="single" w:sz="4" w:space="0" w:color="auto"/>
              <w:left w:val="nil"/>
              <w:bottom w:val="single" w:sz="4" w:space="0" w:color="auto"/>
              <w:right w:val="nil"/>
            </w:tcBorders>
            <w:vAlign w:val="bottom"/>
          </w:tcPr>
          <w:p w:rsidR="00367AFF" w:rsidRDefault="00367AFF" w:rsidP="00367AFF">
            <w:pPr>
              <w:widowControl w:val="0"/>
              <w:autoSpaceDE w:val="0"/>
              <w:autoSpaceDN w:val="0"/>
              <w:adjustRightInd w:val="0"/>
              <w:spacing w:after="0" w:line="183" w:lineRule="exact"/>
              <w:ind w:right="162"/>
              <w:jc w:val="right"/>
              <w:rPr>
                <w:rFonts w:ascii="Arial" w:hAnsi="Arial" w:cs="Arial"/>
                <w:sz w:val="20"/>
                <w:szCs w:val="20"/>
              </w:rPr>
            </w:pPr>
            <w:r>
              <w:rPr>
                <w:rFonts w:ascii="Arial" w:hAnsi="Arial" w:cs="Arial"/>
                <w:sz w:val="20"/>
                <w:szCs w:val="20"/>
              </w:rPr>
              <w:t>5.7</w:t>
            </w:r>
          </w:p>
        </w:tc>
        <w:tc>
          <w:tcPr>
            <w:tcW w:w="1275" w:type="dxa"/>
            <w:tcBorders>
              <w:top w:val="single" w:sz="4" w:space="0" w:color="auto"/>
              <w:left w:val="nil"/>
              <w:bottom w:val="single" w:sz="4" w:space="0" w:color="auto"/>
              <w:right w:val="nil"/>
            </w:tcBorders>
            <w:vAlign w:val="bottom"/>
          </w:tcPr>
          <w:p w:rsidR="00367AFF" w:rsidRPr="008A383B" w:rsidRDefault="00367AFF" w:rsidP="00367AFF">
            <w:pPr>
              <w:widowControl w:val="0"/>
              <w:autoSpaceDE w:val="0"/>
              <w:autoSpaceDN w:val="0"/>
              <w:adjustRightInd w:val="0"/>
              <w:spacing w:after="0" w:line="183" w:lineRule="exact"/>
              <w:ind w:right="162"/>
              <w:jc w:val="right"/>
              <w:rPr>
                <w:rFonts w:ascii="Arial" w:hAnsi="Arial" w:cs="Arial"/>
                <w:sz w:val="20"/>
                <w:szCs w:val="20"/>
              </w:rPr>
            </w:pPr>
            <w:r>
              <w:rPr>
                <w:rFonts w:ascii="Arial" w:hAnsi="Arial" w:cs="Arial"/>
                <w:sz w:val="20"/>
                <w:szCs w:val="20"/>
              </w:rPr>
              <w:t>11.4</w:t>
            </w:r>
          </w:p>
        </w:tc>
      </w:tr>
    </w:tbl>
    <w:p w:rsidR="00367AFF" w:rsidRPr="00716B7C" w:rsidRDefault="00367AFF" w:rsidP="00367AFF">
      <w:pPr>
        <w:widowControl w:val="0"/>
        <w:autoSpaceDE w:val="0"/>
        <w:autoSpaceDN w:val="0"/>
        <w:adjustRightInd w:val="0"/>
        <w:spacing w:after="0" w:line="200" w:lineRule="exact"/>
        <w:rPr>
          <w:rFonts w:ascii="Arial" w:hAnsi="Arial" w:cs="Arial"/>
          <w:sz w:val="24"/>
          <w:szCs w:val="24"/>
        </w:rPr>
      </w:pPr>
      <w:bookmarkStart w:id="6" w:name="page14"/>
      <w:bookmarkEnd w:id="6"/>
    </w:p>
    <w:p w:rsidR="00367AFF" w:rsidRDefault="00367AFF" w:rsidP="00367AFF">
      <w:pPr>
        <w:widowControl w:val="0"/>
        <w:autoSpaceDE w:val="0"/>
        <w:autoSpaceDN w:val="0"/>
        <w:adjustRightInd w:val="0"/>
        <w:spacing w:after="0" w:line="336" w:lineRule="exact"/>
        <w:rPr>
          <w:rFonts w:ascii="Arial" w:hAnsi="Arial" w:cs="Arial"/>
          <w:sz w:val="24"/>
          <w:szCs w:val="24"/>
        </w:rPr>
      </w:pPr>
    </w:p>
    <w:p w:rsidR="00367AFF" w:rsidRDefault="00367AFF" w:rsidP="00367AFF">
      <w:pPr>
        <w:rPr>
          <w:rFonts w:ascii="Arial" w:hAnsi="Arial" w:cs="Arial"/>
          <w:i/>
          <w:iCs/>
          <w:sz w:val="20"/>
          <w:szCs w:val="20"/>
        </w:rPr>
      </w:pPr>
      <w:r>
        <w:rPr>
          <w:rFonts w:ascii="Arial" w:hAnsi="Arial" w:cs="Arial"/>
          <w:i/>
          <w:iCs/>
          <w:sz w:val="20"/>
          <w:szCs w:val="20"/>
        </w:rPr>
        <w:br w:type="page"/>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r w:rsidRPr="008A383B">
        <w:rPr>
          <w:rFonts w:ascii="Arial" w:hAnsi="Arial" w:cs="Arial"/>
          <w:i/>
          <w:iCs/>
          <w:sz w:val="20"/>
          <w:szCs w:val="20"/>
        </w:rPr>
        <w:t>Financing outflows</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Default="00367AFF" w:rsidP="00367AFF">
      <w:pPr>
        <w:widowControl w:val="0"/>
        <w:overflowPunct w:val="0"/>
        <w:autoSpaceDE w:val="0"/>
        <w:autoSpaceDN w:val="0"/>
        <w:adjustRightInd w:val="0"/>
        <w:spacing w:after="0" w:line="240" w:lineRule="auto"/>
        <w:ind w:right="20"/>
        <w:jc w:val="both"/>
        <w:rPr>
          <w:rFonts w:ascii="Arial" w:hAnsi="Arial" w:cs="Arial"/>
          <w:sz w:val="20"/>
          <w:szCs w:val="20"/>
        </w:rPr>
      </w:pPr>
      <w:r w:rsidRPr="008A383B">
        <w:rPr>
          <w:rFonts w:ascii="Arial" w:hAnsi="Arial" w:cs="Arial"/>
          <w:sz w:val="20"/>
          <w:szCs w:val="20"/>
        </w:rPr>
        <w:t xml:space="preserve">During the year the </w:t>
      </w:r>
      <w:r>
        <w:rPr>
          <w:rFonts w:ascii="Arial" w:hAnsi="Arial" w:cs="Arial"/>
          <w:sz w:val="20"/>
          <w:szCs w:val="20"/>
        </w:rPr>
        <w:t xml:space="preserve">Group </w:t>
      </w:r>
      <w:r w:rsidRPr="008A383B">
        <w:rPr>
          <w:rFonts w:ascii="Arial" w:hAnsi="Arial" w:cs="Arial"/>
          <w:sz w:val="20"/>
          <w:szCs w:val="20"/>
        </w:rPr>
        <w:t>paid</w:t>
      </w:r>
      <w:r>
        <w:rPr>
          <w:rFonts w:ascii="Arial" w:hAnsi="Arial" w:cs="Arial"/>
          <w:sz w:val="20"/>
          <w:szCs w:val="20"/>
        </w:rPr>
        <w:t xml:space="preserve"> </w:t>
      </w:r>
      <w:r w:rsidRPr="008A383B">
        <w:rPr>
          <w:rFonts w:ascii="Arial" w:hAnsi="Arial" w:cs="Arial"/>
          <w:sz w:val="20"/>
          <w:szCs w:val="20"/>
        </w:rPr>
        <w:t>dividends of £</w:t>
      </w:r>
      <w:r>
        <w:rPr>
          <w:rFonts w:ascii="Arial" w:hAnsi="Arial" w:cs="Arial"/>
          <w:sz w:val="20"/>
          <w:szCs w:val="20"/>
        </w:rPr>
        <w:t>1.4 million (</w:t>
      </w:r>
      <w:r w:rsidRPr="003074FF">
        <w:rPr>
          <w:rFonts w:ascii="Arial" w:hAnsi="Arial" w:cs="Arial"/>
          <w:i/>
          <w:sz w:val="20"/>
          <w:szCs w:val="20"/>
        </w:rPr>
        <w:t>2013: £</w:t>
      </w:r>
      <w:r>
        <w:rPr>
          <w:rFonts w:ascii="Arial" w:hAnsi="Arial" w:cs="Arial"/>
          <w:i/>
          <w:sz w:val="20"/>
          <w:szCs w:val="20"/>
        </w:rPr>
        <w:t>1.4</w:t>
      </w:r>
      <w:r w:rsidRPr="003074FF">
        <w:rPr>
          <w:rFonts w:ascii="Arial" w:hAnsi="Arial" w:cs="Arial"/>
          <w:i/>
          <w:sz w:val="20"/>
          <w:szCs w:val="20"/>
        </w:rPr>
        <w:t>million</w:t>
      </w:r>
      <w:r>
        <w:rPr>
          <w:rFonts w:ascii="Arial" w:hAnsi="Arial" w:cs="Arial"/>
          <w:sz w:val="20"/>
          <w:szCs w:val="20"/>
        </w:rPr>
        <w:t>) and made fixed asset investment of £5.0</w:t>
      </w:r>
      <w:r w:rsidRPr="008A383B">
        <w:rPr>
          <w:rFonts w:ascii="Arial" w:hAnsi="Arial" w:cs="Arial"/>
          <w:sz w:val="20"/>
          <w:szCs w:val="20"/>
        </w:rPr>
        <w:t xml:space="preserve"> million of expenditure to strengthen the Group’s operating base</w:t>
      </w:r>
      <w:r>
        <w:rPr>
          <w:rFonts w:ascii="Arial" w:hAnsi="Arial" w:cs="Arial"/>
          <w:sz w:val="20"/>
          <w:szCs w:val="20"/>
        </w:rPr>
        <w:t>, including instalment payments of £1.6 million on the new vessel for Gosport ferry</w:t>
      </w:r>
      <w:r w:rsidRPr="008A383B">
        <w:rPr>
          <w:rFonts w:ascii="Arial" w:hAnsi="Arial" w:cs="Arial"/>
          <w:sz w:val="20"/>
          <w:szCs w:val="20"/>
        </w:rPr>
        <w:t xml:space="preserve"> (</w:t>
      </w:r>
      <w:r>
        <w:rPr>
          <w:rFonts w:ascii="Arial" w:hAnsi="Arial" w:cs="Arial"/>
          <w:i/>
          <w:sz w:val="20"/>
          <w:szCs w:val="20"/>
        </w:rPr>
        <w:t>2013 total expenditure: £2.4</w:t>
      </w:r>
      <w:r w:rsidRPr="008A383B">
        <w:rPr>
          <w:rFonts w:ascii="Arial" w:hAnsi="Arial" w:cs="Arial"/>
          <w:i/>
          <w:sz w:val="20"/>
          <w:szCs w:val="20"/>
        </w:rPr>
        <w:t xml:space="preserve"> million</w:t>
      </w:r>
      <w:r>
        <w:rPr>
          <w:rFonts w:ascii="Arial" w:hAnsi="Arial" w:cs="Arial"/>
          <w:sz w:val="20"/>
          <w:szCs w:val="20"/>
        </w:rPr>
        <w:t>); £2.7</w:t>
      </w:r>
      <w:r w:rsidRPr="008A383B">
        <w:rPr>
          <w:rFonts w:ascii="Arial" w:hAnsi="Arial" w:cs="Arial"/>
          <w:sz w:val="20"/>
          <w:szCs w:val="20"/>
        </w:rPr>
        <w:t xml:space="preserve"> million was invested in Stanley with </w:t>
      </w:r>
      <w:r>
        <w:rPr>
          <w:rFonts w:ascii="Arial" w:hAnsi="Arial" w:cs="Arial"/>
          <w:sz w:val="20"/>
          <w:szCs w:val="20"/>
        </w:rPr>
        <w:t>£0.7 million of expenditure on investment land and buildings, £0.6 million on plant and machinery, £0.3 million spend refurbishing the Stanley head office and £0.5</w:t>
      </w:r>
      <w:r w:rsidR="000C5CEA">
        <w:rPr>
          <w:rFonts w:ascii="Arial" w:hAnsi="Arial" w:cs="Arial"/>
          <w:sz w:val="20"/>
          <w:szCs w:val="20"/>
        </w:rPr>
        <w:t xml:space="preserve"> </w:t>
      </w:r>
      <w:r>
        <w:rPr>
          <w:rFonts w:ascii="Arial" w:hAnsi="Arial" w:cs="Arial"/>
          <w:sz w:val="20"/>
          <w:szCs w:val="20"/>
        </w:rPr>
        <w:t>m</w:t>
      </w:r>
      <w:r w:rsidR="000C5CEA">
        <w:rPr>
          <w:rFonts w:ascii="Arial" w:hAnsi="Arial" w:cs="Arial"/>
          <w:sz w:val="20"/>
          <w:szCs w:val="20"/>
        </w:rPr>
        <w:t>illion</w:t>
      </w:r>
      <w:r>
        <w:rPr>
          <w:rFonts w:ascii="Arial" w:hAnsi="Arial" w:cs="Arial"/>
          <w:sz w:val="20"/>
          <w:szCs w:val="20"/>
        </w:rPr>
        <w:t xml:space="preserve"> building a new retail warehouse at Airport Road.</w:t>
      </w:r>
    </w:p>
    <w:p w:rsidR="00367AFF" w:rsidRDefault="00367AFF" w:rsidP="00367AFF">
      <w:pPr>
        <w:widowControl w:val="0"/>
        <w:overflowPunct w:val="0"/>
        <w:autoSpaceDE w:val="0"/>
        <w:autoSpaceDN w:val="0"/>
        <w:adjustRightInd w:val="0"/>
        <w:spacing w:after="0" w:line="240" w:lineRule="auto"/>
        <w:ind w:right="20"/>
        <w:jc w:val="both"/>
        <w:rPr>
          <w:rFonts w:ascii="Arial" w:hAnsi="Arial" w:cs="Arial"/>
          <w:sz w:val="20"/>
          <w:szCs w:val="20"/>
        </w:rPr>
      </w:pPr>
      <w:r w:rsidDel="00C94981">
        <w:rPr>
          <w:rFonts w:ascii="Arial" w:hAnsi="Arial" w:cs="Arial"/>
          <w:sz w:val="20"/>
          <w:szCs w:val="20"/>
        </w:rPr>
        <w:t xml:space="preserve"> </w:t>
      </w:r>
    </w:p>
    <w:p w:rsidR="00367AFF" w:rsidRPr="008A383B" w:rsidRDefault="00367AFF" w:rsidP="00367AFF">
      <w:pPr>
        <w:widowControl w:val="0"/>
        <w:overflowPunct w:val="0"/>
        <w:autoSpaceDE w:val="0"/>
        <w:autoSpaceDN w:val="0"/>
        <w:adjustRightInd w:val="0"/>
        <w:spacing w:after="0" w:line="240" w:lineRule="auto"/>
        <w:ind w:right="20"/>
        <w:jc w:val="both"/>
        <w:rPr>
          <w:rFonts w:ascii="Arial" w:hAnsi="Arial" w:cs="Arial"/>
          <w:sz w:val="20"/>
          <w:szCs w:val="20"/>
        </w:rPr>
      </w:pPr>
      <w:r>
        <w:rPr>
          <w:rFonts w:ascii="Arial" w:hAnsi="Arial" w:cs="Arial"/>
          <w:sz w:val="20"/>
          <w:szCs w:val="20"/>
        </w:rPr>
        <w:t>Scheduled loan repayments of £1.4 million were made, including £0.3</w:t>
      </w:r>
      <w:r w:rsidR="000C5CEA">
        <w:rPr>
          <w:rFonts w:ascii="Arial" w:hAnsi="Arial" w:cs="Arial"/>
          <w:sz w:val="20"/>
          <w:szCs w:val="20"/>
        </w:rPr>
        <w:t xml:space="preserve"> </w:t>
      </w:r>
      <w:r>
        <w:rPr>
          <w:rFonts w:ascii="Arial" w:hAnsi="Arial" w:cs="Arial"/>
          <w:sz w:val="20"/>
          <w:szCs w:val="20"/>
        </w:rPr>
        <w:t>m</w:t>
      </w:r>
      <w:r w:rsidR="000C5CEA">
        <w:rPr>
          <w:rFonts w:ascii="Arial" w:hAnsi="Arial" w:cs="Arial"/>
          <w:sz w:val="20"/>
          <w:szCs w:val="20"/>
        </w:rPr>
        <w:t>illion</w:t>
      </w:r>
      <w:r>
        <w:rPr>
          <w:rFonts w:ascii="Arial" w:hAnsi="Arial" w:cs="Arial"/>
          <w:sz w:val="20"/>
          <w:szCs w:val="20"/>
        </w:rPr>
        <w:t xml:space="preserve"> of payments to Gosport Council on the 50 year pontoon finance lease, £0.1m of repayments on hire purchase leases for trucks at </w:t>
      </w:r>
      <w:proofErr w:type="spellStart"/>
      <w:r>
        <w:rPr>
          <w:rFonts w:ascii="Arial" w:hAnsi="Arial" w:cs="Arial"/>
          <w:sz w:val="20"/>
          <w:szCs w:val="20"/>
        </w:rPr>
        <w:t>Momart</w:t>
      </w:r>
      <w:proofErr w:type="spellEnd"/>
      <w:r>
        <w:rPr>
          <w:rFonts w:ascii="Arial" w:hAnsi="Arial" w:cs="Arial"/>
          <w:sz w:val="20"/>
          <w:szCs w:val="20"/>
        </w:rPr>
        <w:t xml:space="preserve"> and £1.0 million of bank loan repayments reducing the Group’s bank debt to £1.0</w:t>
      </w:r>
      <w:r w:rsidR="000C5CEA">
        <w:rPr>
          <w:rFonts w:ascii="Arial" w:hAnsi="Arial" w:cs="Arial"/>
          <w:sz w:val="20"/>
          <w:szCs w:val="20"/>
        </w:rPr>
        <w:t xml:space="preserve"> </w:t>
      </w:r>
      <w:r>
        <w:rPr>
          <w:rFonts w:ascii="Arial" w:hAnsi="Arial" w:cs="Arial"/>
          <w:sz w:val="20"/>
          <w:szCs w:val="20"/>
        </w:rPr>
        <w:t>million.</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p>
    <w:p w:rsidR="00367AFF" w:rsidRPr="008A383B" w:rsidRDefault="00367AFF" w:rsidP="00367AFF">
      <w:pPr>
        <w:widowControl w:val="0"/>
        <w:overflowPunct w:val="0"/>
        <w:autoSpaceDE w:val="0"/>
        <w:autoSpaceDN w:val="0"/>
        <w:adjustRightInd w:val="0"/>
        <w:spacing w:after="0" w:line="240" w:lineRule="auto"/>
        <w:ind w:right="1200"/>
        <w:rPr>
          <w:rFonts w:ascii="Arial" w:hAnsi="Arial" w:cs="Arial"/>
          <w:b/>
          <w:bCs/>
          <w:sz w:val="20"/>
          <w:szCs w:val="20"/>
        </w:rPr>
      </w:pP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bookmarkStart w:id="7" w:name="page15"/>
      <w:bookmarkEnd w:id="7"/>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r w:rsidRPr="008A383B">
        <w:rPr>
          <w:rFonts w:ascii="Arial" w:hAnsi="Arial" w:cs="Arial"/>
          <w:b/>
          <w:bCs/>
          <w:sz w:val="20"/>
          <w:szCs w:val="20"/>
        </w:rPr>
        <w:t>John Foster</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r w:rsidRPr="008A383B">
        <w:rPr>
          <w:rFonts w:ascii="Arial" w:hAnsi="Arial" w:cs="Arial"/>
          <w:sz w:val="20"/>
          <w:szCs w:val="20"/>
        </w:rPr>
        <w:t>Managing Director</w:t>
      </w:r>
    </w:p>
    <w:p w:rsidR="00367AFF" w:rsidRPr="008A383B" w:rsidRDefault="00367AFF" w:rsidP="00367AF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9 June 2014</w:t>
      </w:r>
    </w:p>
    <w:p w:rsidR="00C36830" w:rsidRDefault="00C36830" w:rsidP="00152055">
      <w:pPr>
        <w:spacing w:after="0" w:line="240" w:lineRule="auto"/>
        <w:jc w:val="both"/>
        <w:outlineLvl w:val="0"/>
      </w:pPr>
    </w:p>
    <w:p w:rsidR="00767A96" w:rsidRDefault="00767A96" w:rsidP="00152055">
      <w:pPr>
        <w:spacing w:after="0" w:line="240" w:lineRule="auto"/>
        <w:jc w:val="both"/>
        <w:outlineLvl w:val="0"/>
        <w:rPr>
          <w:rFonts w:ascii="Arial" w:hAnsi="Arial" w:cs="Arial"/>
          <w:b/>
          <w:sz w:val="20"/>
          <w:szCs w:val="20"/>
        </w:rPr>
      </w:pPr>
    </w:p>
    <w:p w:rsidR="000C5327" w:rsidRDefault="000C5327">
      <w:pPr>
        <w:spacing w:after="0" w:line="240" w:lineRule="auto"/>
        <w:rPr>
          <w:rFonts w:ascii="Arial" w:hAnsi="Arial" w:cs="Arial"/>
          <w:b/>
          <w:sz w:val="20"/>
          <w:szCs w:val="20"/>
        </w:rPr>
      </w:pPr>
      <w:r>
        <w:rPr>
          <w:rFonts w:ascii="Arial" w:hAnsi="Arial" w:cs="Arial"/>
          <w:b/>
          <w:sz w:val="20"/>
          <w:szCs w:val="20"/>
        </w:rPr>
        <w:br w:type="page"/>
      </w:r>
    </w:p>
    <w:p w:rsidR="0038115F" w:rsidRDefault="0038115F"/>
    <w:tbl>
      <w:tblPr>
        <w:tblW w:w="11167" w:type="dxa"/>
        <w:jc w:val="center"/>
        <w:tblLook w:val="04A0" w:firstRow="1" w:lastRow="0" w:firstColumn="1" w:lastColumn="0" w:noHBand="0" w:noVBand="1"/>
      </w:tblPr>
      <w:tblGrid>
        <w:gridCol w:w="222"/>
        <w:gridCol w:w="2864"/>
        <w:gridCol w:w="1471"/>
        <w:gridCol w:w="1450"/>
        <w:gridCol w:w="1246"/>
        <w:gridCol w:w="1306"/>
        <w:gridCol w:w="1328"/>
        <w:gridCol w:w="1280"/>
      </w:tblGrid>
      <w:tr w:rsidR="00152055" w:rsidRPr="002A24CC">
        <w:trPr>
          <w:trHeight w:val="57"/>
          <w:jc w:val="center"/>
        </w:trPr>
        <w:tc>
          <w:tcPr>
            <w:tcW w:w="11167" w:type="dxa"/>
            <w:gridSpan w:val="8"/>
          </w:tcPr>
          <w:p w:rsidR="00152055" w:rsidRPr="00CF1960" w:rsidRDefault="00152055" w:rsidP="004D2690">
            <w:pPr>
              <w:spacing w:after="0" w:line="240" w:lineRule="auto"/>
              <w:contextualSpacing/>
              <w:rPr>
                <w:rFonts w:ascii="Arial" w:eastAsia="Times New Roman" w:hAnsi="Arial" w:cs="Arial"/>
                <w:sz w:val="24"/>
                <w:szCs w:val="24"/>
                <w:lang w:eastAsia="en-GB"/>
              </w:rPr>
            </w:pPr>
            <w:r w:rsidRPr="00CF1960">
              <w:rPr>
                <w:rFonts w:ascii="Arial" w:eastAsia="Times New Roman" w:hAnsi="Arial" w:cs="Arial"/>
                <w:b/>
                <w:bCs/>
                <w:sz w:val="24"/>
                <w:szCs w:val="24"/>
                <w:lang w:eastAsia="en-GB"/>
              </w:rPr>
              <w:t>Consolidated Income Statement</w:t>
            </w:r>
          </w:p>
        </w:tc>
      </w:tr>
      <w:tr w:rsidR="00152055" w:rsidRPr="002A24CC">
        <w:trPr>
          <w:trHeight w:val="57"/>
          <w:jc w:val="center"/>
        </w:trPr>
        <w:tc>
          <w:tcPr>
            <w:tcW w:w="11167" w:type="dxa"/>
            <w:gridSpan w:val="8"/>
          </w:tcPr>
          <w:p w:rsidR="00152055" w:rsidRPr="002A24CC" w:rsidRDefault="00152055" w:rsidP="004D2690">
            <w:pPr>
              <w:spacing w:after="0" w:line="240" w:lineRule="auto"/>
              <w:contextualSpacing/>
              <w:rPr>
                <w:rFonts w:ascii="Arial" w:eastAsia="Times New Roman" w:hAnsi="Arial" w:cs="Arial"/>
                <w:sz w:val="20"/>
                <w:szCs w:val="20"/>
                <w:lang w:eastAsia="en-GB"/>
              </w:rPr>
            </w:pPr>
            <w:r w:rsidRPr="002A24CC">
              <w:rPr>
                <w:rFonts w:ascii="Arial" w:eastAsia="Times New Roman" w:hAnsi="Arial" w:cs="Arial"/>
                <w:b/>
                <w:bCs/>
                <w:sz w:val="20"/>
                <w:szCs w:val="20"/>
                <w:lang w:eastAsia="en-GB"/>
              </w:rPr>
              <w:t xml:space="preserve">FOR THE YEAR ENDED 31 MARCH </w:t>
            </w:r>
            <w:r w:rsidR="00DC654E">
              <w:rPr>
                <w:rFonts w:ascii="Arial" w:eastAsia="Times New Roman" w:hAnsi="Arial" w:cs="Arial"/>
                <w:b/>
                <w:bCs/>
                <w:sz w:val="20"/>
                <w:szCs w:val="20"/>
                <w:lang w:eastAsia="en-GB"/>
              </w:rPr>
              <w:t>2014</w:t>
            </w:r>
          </w:p>
        </w:tc>
      </w:tr>
      <w:tr w:rsidR="00152055" w:rsidRPr="002A24CC">
        <w:trPr>
          <w:trHeight w:val="57"/>
          <w:jc w:val="center"/>
        </w:trPr>
        <w:tc>
          <w:tcPr>
            <w:tcW w:w="11167" w:type="dxa"/>
            <w:gridSpan w:val="8"/>
          </w:tcPr>
          <w:p w:rsidR="00152055" w:rsidRPr="002A24CC" w:rsidRDefault="00152055" w:rsidP="004D2690">
            <w:pPr>
              <w:spacing w:after="0" w:line="240" w:lineRule="auto"/>
              <w:contextualSpacing/>
              <w:rPr>
                <w:rFonts w:ascii="Arial" w:eastAsia="Times New Roman" w:hAnsi="Arial" w:cs="Arial"/>
                <w:b/>
                <w:bCs/>
                <w:sz w:val="20"/>
                <w:szCs w:val="20"/>
                <w:lang w:eastAsia="en-GB"/>
              </w:rPr>
            </w:pPr>
          </w:p>
        </w:tc>
      </w:tr>
      <w:tr w:rsidR="00984CAC" w:rsidRPr="002A24CC">
        <w:trPr>
          <w:trHeight w:val="57"/>
          <w:jc w:val="center"/>
        </w:trPr>
        <w:tc>
          <w:tcPr>
            <w:tcW w:w="222" w:type="dxa"/>
          </w:tcPr>
          <w:p w:rsidR="00152055" w:rsidRPr="002A24CC" w:rsidRDefault="00152055" w:rsidP="004D2690">
            <w:pPr>
              <w:spacing w:after="0" w:line="240" w:lineRule="auto"/>
              <w:contextualSpacing/>
              <w:rPr>
                <w:rFonts w:ascii="Arial" w:eastAsia="Times New Roman" w:hAnsi="Arial" w:cs="Arial"/>
                <w:i/>
                <w:iCs/>
                <w:sz w:val="16"/>
                <w:szCs w:val="16"/>
                <w:lang w:eastAsia="en-GB"/>
              </w:rPr>
            </w:pPr>
          </w:p>
        </w:tc>
        <w:tc>
          <w:tcPr>
            <w:tcW w:w="2864" w:type="dxa"/>
            <w:tcBorders>
              <w:bottom w:val="single" w:sz="4" w:space="0" w:color="auto"/>
            </w:tcBorders>
            <w:shd w:val="clear" w:color="auto" w:fill="auto"/>
            <w:noWrap/>
          </w:tcPr>
          <w:p w:rsidR="00152055" w:rsidRPr="002A24CC" w:rsidRDefault="00152055" w:rsidP="004D2690">
            <w:pPr>
              <w:spacing w:after="0" w:line="240" w:lineRule="auto"/>
              <w:contextualSpacing/>
              <w:rPr>
                <w:rFonts w:ascii="Arial" w:eastAsia="Times New Roman" w:hAnsi="Arial" w:cs="Arial"/>
                <w:sz w:val="20"/>
                <w:szCs w:val="20"/>
                <w:lang w:eastAsia="en-GB"/>
              </w:rPr>
            </w:pPr>
            <w:r w:rsidRPr="002A24CC">
              <w:rPr>
                <w:rFonts w:ascii="Arial" w:eastAsia="Times New Roman" w:hAnsi="Arial" w:cs="Arial"/>
                <w:i/>
                <w:iCs/>
                <w:sz w:val="20"/>
                <w:szCs w:val="20"/>
                <w:lang w:eastAsia="en-GB"/>
              </w:rPr>
              <w:t> </w:t>
            </w:r>
          </w:p>
        </w:tc>
        <w:tc>
          <w:tcPr>
            <w:tcW w:w="1471" w:type="dxa"/>
            <w:tcBorders>
              <w:bottom w:val="single" w:sz="4" w:space="0" w:color="auto"/>
            </w:tcBorders>
            <w:shd w:val="clear" w:color="auto" w:fill="auto"/>
            <w:noWrap/>
            <w:vAlign w:val="bottom"/>
          </w:tcPr>
          <w:p w:rsidR="00152055" w:rsidRPr="007049AF" w:rsidRDefault="00152055" w:rsidP="004D2690">
            <w:pPr>
              <w:spacing w:after="0" w:line="240" w:lineRule="auto"/>
              <w:contextualSpacing/>
              <w:jc w:val="right"/>
              <w:rPr>
                <w:rFonts w:ascii="Arial" w:eastAsia="Times New Roman" w:hAnsi="Arial" w:cs="Arial"/>
                <w:b/>
                <w:sz w:val="20"/>
                <w:szCs w:val="20"/>
                <w:lang w:eastAsia="en-GB"/>
              </w:rPr>
            </w:pPr>
            <w:r w:rsidRPr="007049AF">
              <w:rPr>
                <w:rFonts w:ascii="Arial" w:eastAsia="Times New Roman" w:hAnsi="Arial" w:cs="Arial"/>
                <w:b/>
                <w:sz w:val="20"/>
                <w:szCs w:val="20"/>
                <w:lang w:eastAsia="en-GB"/>
              </w:rPr>
              <w:t>Before</w:t>
            </w:r>
          </w:p>
          <w:p w:rsidR="00152055" w:rsidRPr="007049AF" w:rsidRDefault="00152055" w:rsidP="004D2690">
            <w:pPr>
              <w:spacing w:after="0" w:line="240" w:lineRule="auto"/>
              <w:contextualSpacing/>
              <w:jc w:val="right"/>
              <w:rPr>
                <w:rFonts w:ascii="Arial" w:eastAsia="Times New Roman" w:hAnsi="Arial" w:cs="Arial"/>
                <w:b/>
                <w:sz w:val="20"/>
                <w:szCs w:val="20"/>
                <w:lang w:eastAsia="en-GB"/>
              </w:rPr>
            </w:pPr>
            <w:r w:rsidRPr="007049AF">
              <w:rPr>
                <w:rFonts w:ascii="Arial" w:eastAsia="Times New Roman" w:hAnsi="Arial" w:cs="Arial"/>
                <w:b/>
                <w:sz w:val="20"/>
                <w:szCs w:val="20"/>
                <w:lang w:eastAsia="en-GB"/>
              </w:rPr>
              <w:t>amortisation</w:t>
            </w:r>
          </w:p>
          <w:p w:rsidR="00152055" w:rsidRPr="007049AF" w:rsidRDefault="00152055" w:rsidP="004D2690">
            <w:pPr>
              <w:spacing w:after="0" w:line="240" w:lineRule="auto"/>
              <w:contextualSpacing/>
              <w:jc w:val="right"/>
              <w:rPr>
                <w:rFonts w:ascii="Arial" w:eastAsia="Times New Roman" w:hAnsi="Arial" w:cs="Arial"/>
                <w:b/>
                <w:sz w:val="20"/>
                <w:szCs w:val="20"/>
                <w:lang w:eastAsia="en-GB"/>
              </w:rPr>
            </w:pPr>
            <w:r w:rsidRPr="007049AF">
              <w:rPr>
                <w:rFonts w:ascii="Arial" w:eastAsia="Times New Roman" w:hAnsi="Arial" w:cs="Arial"/>
                <w:b/>
                <w:sz w:val="20"/>
                <w:szCs w:val="20"/>
                <w:lang w:eastAsia="en-GB"/>
              </w:rPr>
              <w:t>&amp; non-trading</w:t>
            </w:r>
          </w:p>
          <w:p w:rsidR="00152055" w:rsidRPr="007049AF" w:rsidRDefault="00152055" w:rsidP="004D2690">
            <w:pPr>
              <w:spacing w:after="0" w:line="240" w:lineRule="auto"/>
              <w:contextualSpacing/>
              <w:jc w:val="right"/>
              <w:rPr>
                <w:rFonts w:ascii="Arial" w:eastAsia="Times New Roman" w:hAnsi="Arial" w:cs="Arial"/>
                <w:b/>
                <w:sz w:val="20"/>
                <w:szCs w:val="20"/>
                <w:lang w:eastAsia="en-GB"/>
              </w:rPr>
            </w:pPr>
            <w:r w:rsidRPr="007049AF">
              <w:rPr>
                <w:rFonts w:ascii="Arial" w:eastAsia="Times New Roman" w:hAnsi="Arial" w:cs="Arial"/>
                <w:b/>
                <w:sz w:val="20"/>
                <w:szCs w:val="20"/>
                <w:lang w:eastAsia="en-GB"/>
              </w:rPr>
              <w:t>items</w:t>
            </w:r>
          </w:p>
          <w:p w:rsidR="00152055" w:rsidRPr="007049AF" w:rsidRDefault="00F53242" w:rsidP="004D2690">
            <w:pPr>
              <w:spacing w:after="0" w:line="240" w:lineRule="auto"/>
              <w:contextualSpacing/>
              <w:jc w:val="right"/>
              <w:rPr>
                <w:rFonts w:ascii="Arial" w:eastAsia="Times New Roman" w:hAnsi="Arial" w:cs="Arial"/>
                <w:b/>
                <w:sz w:val="20"/>
                <w:szCs w:val="20"/>
                <w:lang w:eastAsia="en-GB"/>
              </w:rPr>
            </w:pPr>
            <w:r>
              <w:rPr>
                <w:rFonts w:ascii="Arial" w:eastAsia="Times New Roman" w:hAnsi="Arial" w:cs="Arial"/>
                <w:b/>
                <w:sz w:val="20"/>
                <w:szCs w:val="20"/>
                <w:lang w:eastAsia="en-GB"/>
              </w:rPr>
              <w:t>201</w:t>
            </w:r>
            <w:r w:rsidR="001A0BD1">
              <w:rPr>
                <w:rFonts w:ascii="Arial" w:eastAsia="Times New Roman" w:hAnsi="Arial" w:cs="Arial"/>
                <w:b/>
                <w:sz w:val="20"/>
                <w:szCs w:val="20"/>
                <w:lang w:eastAsia="en-GB"/>
              </w:rPr>
              <w:t>4</w:t>
            </w:r>
          </w:p>
          <w:p w:rsidR="00152055" w:rsidRPr="007049AF" w:rsidRDefault="00152055" w:rsidP="004D2690">
            <w:pPr>
              <w:spacing w:after="0" w:line="240" w:lineRule="auto"/>
              <w:contextualSpacing/>
              <w:jc w:val="right"/>
              <w:rPr>
                <w:rFonts w:ascii="Arial" w:eastAsia="Times New Roman" w:hAnsi="Arial" w:cs="Arial"/>
                <w:b/>
                <w:color w:val="000000"/>
                <w:sz w:val="20"/>
                <w:szCs w:val="20"/>
                <w:lang w:eastAsia="en-GB"/>
              </w:rPr>
            </w:pPr>
            <w:r w:rsidRPr="007049AF">
              <w:rPr>
                <w:rFonts w:ascii="Arial" w:eastAsia="Times New Roman" w:hAnsi="Arial" w:cs="Arial"/>
                <w:b/>
                <w:sz w:val="20"/>
                <w:szCs w:val="20"/>
                <w:lang w:eastAsia="en-GB"/>
              </w:rPr>
              <w:t>£'000</w:t>
            </w:r>
          </w:p>
        </w:tc>
        <w:tc>
          <w:tcPr>
            <w:tcW w:w="1450" w:type="dxa"/>
            <w:tcBorders>
              <w:bottom w:val="single" w:sz="4" w:space="0" w:color="auto"/>
              <w:right w:val="single" w:sz="4" w:space="0" w:color="auto"/>
            </w:tcBorders>
            <w:shd w:val="clear" w:color="auto" w:fill="auto"/>
            <w:noWrap/>
            <w:vAlign w:val="bottom"/>
          </w:tcPr>
          <w:p w:rsidR="00152055" w:rsidRPr="007049AF" w:rsidRDefault="00152055" w:rsidP="004D2690">
            <w:pPr>
              <w:spacing w:after="0" w:line="240" w:lineRule="auto"/>
              <w:contextualSpacing/>
              <w:jc w:val="right"/>
              <w:rPr>
                <w:rFonts w:ascii="Arial" w:eastAsia="Times New Roman" w:hAnsi="Arial" w:cs="Arial"/>
                <w:b/>
                <w:sz w:val="20"/>
                <w:szCs w:val="20"/>
                <w:lang w:eastAsia="en-GB"/>
              </w:rPr>
            </w:pPr>
            <w:r w:rsidRPr="007049AF">
              <w:rPr>
                <w:rFonts w:ascii="Arial" w:eastAsia="Times New Roman" w:hAnsi="Arial" w:cs="Arial"/>
                <w:b/>
                <w:sz w:val="20"/>
                <w:szCs w:val="20"/>
                <w:lang w:eastAsia="en-GB"/>
              </w:rPr>
              <w:t xml:space="preserve">Amortisation </w:t>
            </w:r>
          </w:p>
          <w:p w:rsidR="00152055" w:rsidRPr="007049AF" w:rsidRDefault="00152055" w:rsidP="004D2690">
            <w:pPr>
              <w:spacing w:after="0" w:line="240" w:lineRule="auto"/>
              <w:contextualSpacing/>
              <w:jc w:val="right"/>
              <w:rPr>
                <w:rFonts w:ascii="Arial" w:eastAsia="Times New Roman" w:hAnsi="Arial" w:cs="Arial"/>
                <w:b/>
                <w:sz w:val="20"/>
                <w:szCs w:val="20"/>
                <w:lang w:eastAsia="en-GB"/>
              </w:rPr>
            </w:pPr>
            <w:r w:rsidRPr="007049AF">
              <w:rPr>
                <w:rFonts w:ascii="Arial" w:eastAsia="Times New Roman" w:hAnsi="Arial" w:cs="Arial"/>
                <w:b/>
                <w:sz w:val="20"/>
                <w:szCs w:val="20"/>
                <w:lang w:eastAsia="en-GB"/>
              </w:rPr>
              <w:t>&amp; non-trading</w:t>
            </w:r>
          </w:p>
          <w:p w:rsidR="00152055" w:rsidRPr="007049AF" w:rsidRDefault="00152055" w:rsidP="004D2690">
            <w:pPr>
              <w:spacing w:after="0" w:line="240" w:lineRule="auto"/>
              <w:contextualSpacing/>
              <w:jc w:val="right"/>
              <w:rPr>
                <w:rFonts w:ascii="Arial" w:eastAsia="Times New Roman" w:hAnsi="Arial" w:cs="Arial"/>
                <w:b/>
                <w:sz w:val="20"/>
                <w:szCs w:val="20"/>
                <w:lang w:eastAsia="en-GB"/>
              </w:rPr>
            </w:pPr>
            <w:r w:rsidRPr="007049AF">
              <w:rPr>
                <w:rFonts w:ascii="Arial" w:eastAsia="Times New Roman" w:hAnsi="Arial" w:cs="Arial"/>
                <w:b/>
                <w:sz w:val="20"/>
                <w:szCs w:val="20"/>
                <w:lang w:eastAsia="en-GB"/>
              </w:rPr>
              <w:t>items</w:t>
            </w:r>
          </w:p>
          <w:p w:rsidR="00152055" w:rsidRPr="007049AF" w:rsidRDefault="00152055" w:rsidP="004D2690">
            <w:pPr>
              <w:spacing w:after="0" w:line="240" w:lineRule="auto"/>
              <w:contextualSpacing/>
              <w:jc w:val="right"/>
              <w:rPr>
                <w:rFonts w:ascii="Arial" w:eastAsia="Times New Roman" w:hAnsi="Arial" w:cs="Arial"/>
                <w:b/>
                <w:sz w:val="20"/>
                <w:szCs w:val="20"/>
                <w:lang w:eastAsia="en-GB"/>
              </w:rPr>
            </w:pPr>
          </w:p>
          <w:p w:rsidR="00152055" w:rsidRPr="007049AF" w:rsidRDefault="00C71D7E" w:rsidP="004D2690">
            <w:pPr>
              <w:spacing w:after="0" w:line="240" w:lineRule="auto"/>
              <w:contextualSpacing/>
              <w:jc w:val="right"/>
              <w:rPr>
                <w:rFonts w:ascii="Arial" w:eastAsia="Times New Roman" w:hAnsi="Arial" w:cs="Arial"/>
                <w:b/>
                <w:sz w:val="20"/>
                <w:szCs w:val="20"/>
                <w:lang w:eastAsia="en-GB"/>
              </w:rPr>
            </w:pPr>
            <w:r>
              <w:rPr>
                <w:rFonts w:ascii="Arial" w:eastAsia="Times New Roman" w:hAnsi="Arial" w:cs="Arial"/>
                <w:b/>
                <w:sz w:val="20"/>
                <w:szCs w:val="20"/>
                <w:lang w:eastAsia="en-GB"/>
              </w:rPr>
              <w:t>201</w:t>
            </w:r>
            <w:r w:rsidR="001A0BD1">
              <w:rPr>
                <w:rFonts w:ascii="Arial" w:eastAsia="Times New Roman" w:hAnsi="Arial" w:cs="Arial"/>
                <w:b/>
                <w:sz w:val="20"/>
                <w:szCs w:val="20"/>
                <w:lang w:eastAsia="en-GB"/>
              </w:rPr>
              <w:t>4</w:t>
            </w:r>
          </w:p>
          <w:p w:rsidR="00152055" w:rsidRPr="007049AF" w:rsidRDefault="00152055" w:rsidP="004D2690">
            <w:pPr>
              <w:spacing w:after="0" w:line="240" w:lineRule="auto"/>
              <w:contextualSpacing/>
              <w:jc w:val="right"/>
              <w:rPr>
                <w:rFonts w:ascii="Arial" w:eastAsia="Times New Roman" w:hAnsi="Arial" w:cs="Arial"/>
                <w:b/>
                <w:color w:val="000000"/>
                <w:sz w:val="20"/>
                <w:szCs w:val="20"/>
                <w:lang w:eastAsia="en-GB"/>
              </w:rPr>
            </w:pPr>
            <w:r w:rsidRPr="007049AF">
              <w:rPr>
                <w:rFonts w:ascii="Arial" w:eastAsia="Times New Roman" w:hAnsi="Arial" w:cs="Arial"/>
                <w:b/>
                <w:sz w:val="20"/>
                <w:szCs w:val="20"/>
                <w:lang w:eastAsia="en-GB"/>
              </w:rPr>
              <w:t>£'000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055" w:rsidRPr="007049AF" w:rsidRDefault="00152055" w:rsidP="004D2690">
            <w:pPr>
              <w:spacing w:after="0" w:line="240" w:lineRule="auto"/>
              <w:contextualSpacing/>
              <w:jc w:val="right"/>
              <w:rPr>
                <w:rFonts w:ascii="Arial" w:eastAsia="Times New Roman" w:hAnsi="Arial" w:cs="Arial"/>
                <w:b/>
                <w:sz w:val="20"/>
                <w:szCs w:val="20"/>
                <w:lang w:eastAsia="en-GB"/>
              </w:rPr>
            </w:pPr>
            <w:r w:rsidRPr="007049AF">
              <w:rPr>
                <w:rFonts w:ascii="Arial" w:eastAsia="Times New Roman" w:hAnsi="Arial" w:cs="Arial"/>
                <w:b/>
                <w:sz w:val="20"/>
                <w:szCs w:val="20"/>
                <w:lang w:eastAsia="en-GB"/>
              </w:rPr>
              <w:t>Total</w:t>
            </w:r>
          </w:p>
          <w:p w:rsidR="00152055" w:rsidRPr="007049AF" w:rsidRDefault="00C71D7E" w:rsidP="004D2690">
            <w:pPr>
              <w:spacing w:after="0" w:line="240" w:lineRule="auto"/>
              <w:contextualSpacing/>
              <w:jc w:val="right"/>
              <w:rPr>
                <w:rFonts w:ascii="Arial" w:eastAsia="Times New Roman" w:hAnsi="Arial" w:cs="Arial"/>
                <w:b/>
                <w:sz w:val="20"/>
                <w:szCs w:val="20"/>
                <w:lang w:eastAsia="en-GB"/>
              </w:rPr>
            </w:pPr>
            <w:r>
              <w:rPr>
                <w:rFonts w:ascii="Arial" w:eastAsia="Times New Roman" w:hAnsi="Arial" w:cs="Arial"/>
                <w:b/>
                <w:sz w:val="20"/>
                <w:szCs w:val="20"/>
                <w:lang w:eastAsia="en-GB"/>
              </w:rPr>
              <w:t>201</w:t>
            </w:r>
            <w:r w:rsidR="001A0BD1">
              <w:rPr>
                <w:rFonts w:ascii="Arial" w:eastAsia="Times New Roman" w:hAnsi="Arial" w:cs="Arial"/>
                <w:b/>
                <w:sz w:val="20"/>
                <w:szCs w:val="20"/>
                <w:lang w:eastAsia="en-GB"/>
              </w:rPr>
              <w:t>4</w:t>
            </w:r>
          </w:p>
          <w:p w:rsidR="00152055" w:rsidRPr="007049AF" w:rsidRDefault="00152055" w:rsidP="004D2690">
            <w:pPr>
              <w:spacing w:after="0" w:line="240" w:lineRule="auto"/>
              <w:contextualSpacing/>
              <w:jc w:val="right"/>
              <w:rPr>
                <w:rFonts w:ascii="Arial" w:eastAsia="Times New Roman" w:hAnsi="Arial" w:cs="Arial"/>
                <w:b/>
                <w:sz w:val="20"/>
                <w:szCs w:val="20"/>
                <w:lang w:eastAsia="en-GB"/>
              </w:rPr>
            </w:pPr>
            <w:r w:rsidRPr="007049AF">
              <w:rPr>
                <w:rFonts w:ascii="Arial" w:eastAsia="Times New Roman" w:hAnsi="Arial" w:cs="Arial"/>
                <w:b/>
                <w:sz w:val="20"/>
                <w:szCs w:val="20"/>
                <w:lang w:eastAsia="en-GB"/>
              </w:rPr>
              <w:t>£'000</w:t>
            </w:r>
          </w:p>
        </w:tc>
        <w:tc>
          <w:tcPr>
            <w:tcW w:w="1306" w:type="dxa"/>
            <w:tcBorders>
              <w:left w:val="single" w:sz="4" w:space="0" w:color="auto"/>
              <w:bottom w:val="single" w:sz="4" w:space="0" w:color="auto"/>
            </w:tcBorders>
            <w:shd w:val="clear" w:color="auto" w:fill="auto"/>
            <w:noWrap/>
            <w:vAlign w:val="bottom"/>
          </w:tcPr>
          <w:p w:rsidR="00152055" w:rsidRPr="002A24CC" w:rsidRDefault="00152055" w:rsidP="004D2690">
            <w:pPr>
              <w:spacing w:after="0" w:line="240" w:lineRule="auto"/>
              <w:contextualSpacing/>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Before</w:t>
            </w:r>
          </w:p>
          <w:p w:rsidR="00152055" w:rsidRPr="002A24CC" w:rsidRDefault="00152055" w:rsidP="004D2690">
            <w:pPr>
              <w:spacing w:after="0" w:line="240" w:lineRule="auto"/>
              <w:contextualSpacing/>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amortisation</w:t>
            </w:r>
          </w:p>
          <w:p w:rsidR="00152055" w:rsidRPr="002A24CC" w:rsidRDefault="00152055" w:rsidP="004D2690">
            <w:pPr>
              <w:spacing w:after="0" w:line="240" w:lineRule="auto"/>
              <w:contextualSpacing/>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&amp; non-trading</w:t>
            </w:r>
          </w:p>
          <w:p w:rsidR="00152055" w:rsidRPr="002A24CC" w:rsidRDefault="00152055" w:rsidP="004D2690">
            <w:pPr>
              <w:spacing w:after="0" w:line="240" w:lineRule="auto"/>
              <w:contextualSpacing/>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items</w:t>
            </w:r>
          </w:p>
          <w:p w:rsidR="00152055" w:rsidRPr="002A24CC" w:rsidRDefault="008E35BF" w:rsidP="004D2690">
            <w:pPr>
              <w:spacing w:after="0" w:line="240" w:lineRule="auto"/>
              <w:contextualSpacing/>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1A0BD1">
              <w:rPr>
                <w:rFonts w:ascii="Arial" w:eastAsia="Times New Roman" w:hAnsi="Arial" w:cs="Arial"/>
                <w:sz w:val="20"/>
                <w:szCs w:val="20"/>
                <w:lang w:eastAsia="en-GB"/>
              </w:rPr>
              <w:t>3</w:t>
            </w:r>
          </w:p>
          <w:p w:rsidR="00152055" w:rsidRPr="002A24CC" w:rsidRDefault="00152055" w:rsidP="004D2690">
            <w:pPr>
              <w:spacing w:after="0" w:line="240" w:lineRule="auto"/>
              <w:contextualSpacing/>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£'000</w:t>
            </w:r>
          </w:p>
        </w:tc>
        <w:tc>
          <w:tcPr>
            <w:tcW w:w="1328" w:type="dxa"/>
            <w:tcBorders>
              <w:bottom w:val="single" w:sz="4" w:space="0" w:color="auto"/>
              <w:right w:val="single" w:sz="4" w:space="0" w:color="auto"/>
            </w:tcBorders>
            <w:shd w:val="clear" w:color="auto" w:fill="auto"/>
            <w:noWrap/>
            <w:vAlign w:val="bottom"/>
          </w:tcPr>
          <w:p w:rsidR="00152055" w:rsidRPr="002A24CC" w:rsidRDefault="00152055" w:rsidP="004D2690">
            <w:pPr>
              <w:spacing w:after="0" w:line="240" w:lineRule="auto"/>
              <w:contextualSpacing/>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 xml:space="preserve">Amortisation </w:t>
            </w:r>
          </w:p>
          <w:p w:rsidR="00152055" w:rsidRPr="002A24CC" w:rsidRDefault="00152055" w:rsidP="004D2690">
            <w:pPr>
              <w:spacing w:after="0" w:line="240" w:lineRule="auto"/>
              <w:contextualSpacing/>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&amp; non-trading</w:t>
            </w:r>
          </w:p>
          <w:p w:rsidR="00152055" w:rsidRPr="002A24CC" w:rsidRDefault="00152055" w:rsidP="004D2690">
            <w:pPr>
              <w:spacing w:after="0" w:line="240" w:lineRule="auto"/>
              <w:contextualSpacing/>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items</w:t>
            </w:r>
          </w:p>
          <w:p w:rsidR="00152055" w:rsidRPr="002A24CC" w:rsidRDefault="00152055" w:rsidP="004D2690">
            <w:pPr>
              <w:spacing w:after="0" w:line="240" w:lineRule="auto"/>
              <w:contextualSpacing/>
              <w:jc w:val="right"/>
              <w:rPr>
                <w:rFonts w:ascii="Arial" w:eastAsia="Times New Roman" w:hAnsi="Arial" w:cs="Arial"/>
                <w:sz w:val="20"/>
                <w:szCs w:val="20"/>
                <w:lang w:eastAsia="en-GB"/>
              </w:rPr>
            </w:pPr>
          </w:p>
          <w:p w:rsidR="00152055" w:rsidRPr="002A24CC" w:rsidRDefault="008E35BF" w:rsidP="004D2690">
            <w:pPr>
              <w:spacing w:after="0" w:line="240" w:lineRule="auto"/>
              <w:contextualSpacing/>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1A0BD1">
              <w:rPr>
                <w:rFonts w:ascii="Arial" w:eastAsia="Times New Roman" w:hAnsi="Arial" w:cs="Arial"/>
                <w:sz w:val="20"/>
                <w:szCs w:val="20"/>
                <w:lang w:eastAsia="en-GB"/>
              </w:rPr>
              <w:t>3</w:t>
            </w:r>
          </w:p>
          <w:p w:rsidR="00152055" w:rsidRPr="002A24CC" w:rsidRDefault="00152055" w:rsidP="004D2690">
            <w:pPr>
              <w:spacing w:after="0" w:line="240" w:lineRule="auto"/>
              <w:contextualSpacing/>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055" w:rsidRPr="002A24CC" w:rsidRDefault="00152055" w:rsidP="004D2690">
            <w:pPr>
              <w:spacing w:after="0" w:line="240" w:lineRule="auto"/>
              <w:contextualSpacing/>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Total</w:t>
            </w:r>
          </w:p>
          <w:p w:rsidR="00152055" w:rsidRPr="002A24CC" w:rsidRDefault="008E35BF" w:rsidP="004D2690">
            <w:pPr>
              <w:spacing w:after="0" w:line="240" w:lineRule="auto"/>
              <w:contextualSpacing/>
              <w:jc w:val="right"/>
              <w:rPr>
                <w:rFonts w:ascii="Arial" w:eastAsia="Times New Roman" w:hAnsi="Arial" w:cs="Arial"/>
                <w:sz w:val="20"/>
                <w:szCs w:val="20"/>
                <w:lang w:eastAsia="en-GB"/>
              </w:rPr>
            </w:pPr>
            <w:r>
              <w:rPr>
                <w:rFonts w:ascii="Arial" w:eastAsia="Times New Roman" w:hAnsi="Arial" w:cs="Arial"/>
                <w:sz w:val="20"/>
                <w:szCs w:val="20"/>
                <w:lang w:eastAsia="en-GB"/>
              </w:rPr>
              <w:t>2</w:t>
            </w:r>
            <w:r w:rsidR="00C71D7E">
              <w:rPr>
                <w:rFonts w:ascii="Arial" w:eastAsia="Times New Roman" w:hAnsi="Arial" w:cs="Arial"/>
                <w:sz w:val="20"/>
                <w:szCs w:val="20"/>
                <w:lang w:eastAsia="en-GB"/>
              </w:rPr>
              <w:t>01</w:t>
            </w:r>
            <w:r w:rsidR="001A0BD1">
              <w:rPr>
                <w:rFonts w:ascii="Arial" w:eastAsia="Times New Roman" w:hAnsi="Arial" w:cs="Arial"/>
                <w:sz w:val="20"/>
                <w:szCs w:val="20"/>
                <w:lang w:eastAsia="en-GB"/>
              </w:rPr>
              <w:t>3</w:t>
            </w:r>
          </w:p>
          <w:p w:rsidR="00152055" w:rsidRPr="002A24CC" w:rsidRDefault="00152055" w:rsidP="004D2690">
            <w:pPr>
              <w:spacing w:after="0" w:line="240" w:lineRule="auto"/>
              <w:contextualSpacing/>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£'000</w:t>
            </w:r>
          </w:p>
        </w:tc>
      </w:tr>
      <w:tr w:rsidR="00984CAC" w:rsidRPr="002A24CC">
        <w:trPr>
          <w:trHeight w:val="57"/>
          <w:jc w:val="center"/>
        </w:trPr>
        <w:tc>
          <w:tcPr>
            <w:tcW w:w="222" w:type="dxa"/>
            <w:vAlign w:val="bottom"/>
          </w:tcPr>
          <w:p w:rsidR="00152055" w:rsidRPr="002A24CC" w:rsidRDefault="00152055" w:rsidP="004D2690">
            <w:pPr>
              <w:spacing w:after="0" w:line="240" w:lineRule="auto"/>
              <w:contextualSpacing/>
              <w:rPr>
                <w:rFonts w:ascii="Arial" w:eastAsia="Times New Roman" w:hAnsi="Arial" w:cs="Arial"/>
                <w:sz w:val="16"/>
                <w:szCs w:val="16"/>
                <w:lang w:eastAsia="en-GB"/>
              </w:rPr>
            </w:pPr>
          </w:p>
        </w:tc>
        <w:tc>
          <w:tcPr>
            <w:tcW w:w="2864" w:type="dxa"/>
            <w:tcBorders>
              <w:top w:val="single" w:sz="4" w:space="0" w:color="auto"/>
            </w:tcBorders>
            <w:shd w:val="clear" w:color="auto" w:fill="auto"/>
            <w:noWrap/>
            <w:vAlign w:val="bottom"/>
          </w:tcPr>
          <w:p w:rsidR="00152055" w:rsidRPr="002A24CC" w:rsidRDefault="00152055" w:rsidP="004D2690">
            <w:pPr>
              <w:spacing w:after="0" w:line="240" w:lineRule="auto"/>
              <w:contextualSpacing/>
              <w:rPr>
                <w:rFonts w:ascii="Arial" w:eastAsia="Times New Roman" w:hAnsi="Arial" w:cs="Arial"/>
                <w:sz w:val="20"/>
                <w:szCs w:val="20"/>
                <w:lang w:eastAsia="en-GB"/>
              </w:rPr>
            </w:pPr>
          </w:p>
        </w:tc>
        <w:tc>
          <w:tcPr>
            <w:tcW w:w="1471" w:type="dxa"/>
            <w:tcBorders>
              <w:top w:val="single" w:sz="4" w:space="0" w:color="auto"/>
            </w:tcBorders>
            <w:shd w:val="clear" w:color="auto" w:fill="auto"/>
            <w:noWrap/>
            <w:vAlign w:val="bottom"/>
          </w:tcPr>
          <w:p w:rsidR="00152055" w:rsidRPr="002A24CC" w:rsidRDefault="00152055" w:rsidP="004D2690">
            <w:pPr>
              <w:spacing w:after="0" w:line="240" w:lineRule="auto"/>
              <w:contextualSpacing/>
              <w:jc w:val="right"/>
              <w:rPr>
                <w:rFonts w:ascii="Arial" w:eastAsia="Times New Roman" w:hAnsi="Arial" w:cs="Arial"/>
                <w:sz w:val="20"/>
                <w:szCs w:val="20"/>
                <w:lang w:eastAsia="en-GB"/>
              </w:rPr>
            </w:pPr>
          </w:p>
        </w:tc>
        <w:tc>
          <w:tcPr>
            <w:tcW w:w="1450" w:type="dxa"/>
            <w:tcBorders>
              <w:top w:val="single" w:sz="4" w:space="0" w:color="auto"/>
              <w:right w:val="single" w:sz="4" w:space="0" w:color="auto"/>
            </w:tcBorders>
            <w:shd w:val="clear" w:color="auto" w:fill="auto"/>
            <w:noWrap/>
            <w:vAlign w:val="bottom"/>
          </w:tcPr>
          <w:p w:rsidR="00152055" w:rsidRPr="002A24CC" w:rsidRDefault="00152055" w:rsidP="004D2690">
            <w:pPr>
              <w:spacing w:after="0" w:line="240" w:lineRule="auto"/>
              <w:contextualSpacing/>
              <w:jc w:val="right"/>
              <w:rPr>
                <w:rFonts w:ascii="Arial" w:eastAsia="Times New Roman" w:hAnsi="Arial" w:cs="Arial"/>
                <w:sz w:val="20"/>
                <w:szCs w:val="20"/>
                <w:lang w:eastAsia="en-GB"/>
              </w:rPr>
            </w:pPr>
          </w:p>
        </w:tc>
        <w:tc>
          <w:tcPr>
            <w:tcW w:w="1246" w:type="dxa"/>
            <w:tcBorders>
              <w:top w:val="single" w:sz="4" w:space="0" w:color="auto"/>
              <w:left w:val="single" w:sz="4" w:space="0" w:color="auto"/>
              <w:right w:val="single" w:sz="4" w:space="0" w:color="auto"/>
            </w:tcBorders>
            <w:shd w:val="clear" w:color="auto" w:fill="auto"/>
            <w:noWrap/>
            <w:vAlign w:val="bottom"/>
          </w:tcPr>
          <w:p w:rsidR="00152055" w:rsidRPr="002A24CC" w:rsidRDefault="00152055" w:rsidP="004D2690">
            <w:pPr>
              <w:spacing w:after="0" w:line="240" w:lineRule="auto"/>
              <w:contextualSpacing/>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 </w:t>
            </w:r>
          </w:p>
        </w:tc>
        <w:tc>
          <w:tcPr>
            <w:tcW w:w="1306" w:type="dxa"/>
            <w:tcBorders>
              <w:top w:val="single" w:sz="4" w:space="0" w:color="auto"/>
              <w:left w:val="single" w:sz="4" w:space="0" w:color="auto"/>
            </w:tcBorders>
            <w:shd w:val="clear" w:color="auto" w:fill="auto"/>
            <w:noWrap/>
            <w:vAlign w:val="bottom"/>
          </w:tcPr>
          <w:p w:rsidR="00152055" w:rsidRPr="00C71D7E" w:rsidRDefault="00152055" w:rsidP="004D2690">
            <w:pPr>
              <w:spacing w:after="0" w:line="240" w:lineRule="auto"/>
              <w:contextualSpacing/>
              <w:jc w:val="right"/>
              <w:rPr>
                <w:rFonts w:ascii="Arial" w:eastAsia="Times New Roman" w:hAnsi="Arial" w:cs="Arial"/>
                <w:b/>
                <w:sz w:val="20"/>
                <w:szCs w:val="20"/>
                <w:lang w:eastAsia="en-GB"/>
              </w:rPr>
            </w:pPr>
          </w:p>
        </w:tc>
        <w:tc>
          <w:tcPr>
            <w:tcW w:w="1328" w:type="dxa"/>
            <w:tcBorders>
              <w:top w:val="single" w:sz="4" w:space="0" w:color="auto"/>
              <w:right w:val="single" w:sz="4" w:space="0" w:color="auto"/>
            </w:tcBorders>
            <w:shd w:val="clear" w:color="auto" w:fill="auto"/>
            <w:noWrap/>
            <w:vAlign w:val="bottom"/>
          </w:tcPr>
          <w:p w:rsidR="00152055" w:rsidRPr="00C71D7E" w:rsidRDefault="00152055" w:rsidP="004D2690">
            <w:pPr>
              <w:spacing w:after="0" w:line="240" w:lineRule="auto"/>
              <w:contextualSpacing/>
              <w:jc w:val="right"/>
              <w:rPr>
                <w:rFonts w:ascii="Arial" w:eastAsia="Times New Roman" w:hAnsi="Arial" w:cs="Arial"/>
                <w:b/>
                <w:sz w:val="20"/>
                <w:szCs w:val="20"/>
                <w:lang w:eastAsia="en-GB"/>
              </w:rPr>
            </w:pPr>
          </w:p>
        </w:tc>
        <w:tc>
          <w:tcPr>
            <w:tcW w:w="1280" w:type="dxa"/>
            <w:tcBorders>
              <w:top w:val="single" w:sz="4" w:space="0" w:color="auto"/>
              <w:left w:val="single" w:sz="4" w:space="0" w:color="auto"/>
              <w:right w:val="single" w:sz="4" w:space="0" w:color="auto"/>
            </w:tcBorders>
            <w:shd w:val="clear" w:color="auto" w:fill="auto"/>
            <w:noWrap/>
            <w:vAlign w:val="bottom"/>
          </w:tcPr>
          <w:p w:rsidR="00152055" w:rsidRPr="00C71D7E" w:rsidRDefault="00152055" w:rsidP="004D2690">
            <w:pPr>
              <w:spacing w:after="0" w:line="240" w:lineRule="auto"/>
              <w:contextualSpacing/>
              <w:jc w:val="right"/>
              <w:rPr>
                <w:rFonts w:ascii="Arial" w:eastAsia="Times New Roman" w:hAnsi="Arial" w:cs="Arial"/>
                <w:b/>
                <w:sz w:val="20"/>
                <w:szCs w:val="20"/>
                <w:lang w:eastAsia="en-GB"/>
              </w:rPr>
            </w:pPr>
            <w:r w:rsidRPr="00C71D7E">
              <w:rPr>
                <w:rFonts w:ascii="Arial" w:eastAsia="Times New Roman" w:hAnsi="Arial" w:cs="Arial"/>
                <w:b/>
                <w:sz w:val="20"/>
                <w:szCs w:val="20"/>
                <w:lang w:eastAsia="en-GB"/>
              </w:rPr>
              <w:t> </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i/>
                <w:iCs/>
                <w:sz w:val="16"/>
                <w:szCs w:val="16"/>
                <w:lang w:eastAsia="en-GB"/>
              </w:rPr>
            </w:pPr>
          </w:p>
        </w:tc>
        <w:tc>
          <w:tcPr>
            <w:tcW w:w="2864" w:type="dxa"/>
            <w:shd w:val="clear" w:color="auto" w:fill="auto"/>
            <w:noWrap/>
            <w:vAlign w:val="bottom"/>
          </w:tcPr>
          <w:p w:rsidR="00DC654E" w:rsidRPr="002A24CC" w:rsidRDefault="00DC654E" w:rsidP="004D2690">
            <w:pPr>
              <w:spacing w:after="0" w:line="240" w:lineRule="auto"/>
              <w:contextualSpacing/>
              <w:rPr>
                <w:rFonts w:ascii="Arial" w:eastAsia="Times New Roman" w:hAnsi="Arial" w:cs="Arial"/>
                <w:i/>
                <w:iCs/>
                <w:sz w:val="20"/>
                <w:szCs w:val="20"/>
                <w:lang w:eastAsia="en-GB"/>
              </w:rPr>
            </w:pPr>
            <w:r w:rsidRPr="002A24CC">
              <w:rPr>
                <w:rFonts w:ascii="Arial" w:eastAsia="Times New Roman" w:hAnsi="Arial" w:cs="Arial"/>
                <w:b/>
                <w:bCs/>
                <w:sz w:val="20"/>
                <w:szCs w:val="20"/>
                <w:lang w:eastAsia="en-GB"/>
              </w:rPr>
              <w:t>Revenue</w:t>
            </w:r>
          </w:p>
        </w:tc>
        <w:tc>
          <w:tcPr>
            <w:tcW w:w="1471" w:type="dxa"/>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38,263</w:t>
            </w:r>
          </w:p>
        </w:tc>
        <w:tc>
          <w:tcPr>
            <w:tcW w:w="1450" w:type="dxa"/>
            <w:tcBorders>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w:t>
            </w:r>
          </w:p>
        </w:tc>
        <w:tc>
          <w:tcPr>
            <w:tcW w:w="1246" w:type="dxa"/>
            <w:tcBorders>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38,263</w:t>
            </w:r>
          </w:p>
        </w:tc>
        <w:tc>
          <w:tcPr>
            <w:tcW w:w="1306" w:type="dxa"/>
            <w:tcBorders>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35,596</w:t>
            </w: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w:t>
            </w:r>
          </w:p>
        </w:tc>
        <w:tc>
          <w:tcPr>
            <w:tcW w:w="1280" w:type="dxa"/>
            <w:tcBorders>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35,596</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p>
        </w:tc>
        <w:tc>
          <w:tcPr>
            <w:tcW w:w="1471" w:type="dxa"/>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p>
        </w:tc>
        <w:tc>
          <w:tcPr>
            <w:tcW w:w="1450" w:type="dxa"/>
            <w:tcBorders>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p>
        </w:tc>
        <w:tc>
          <w:tcPr>
            <w:tcW w:w="1246" w:type="dxa"/>
            <w:tcBorders>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 </w:t>
            </w:r>
          </w:p>
        </w:tc>
        <w:tc>
          <w:tcPr>
            <w:tcW w:w="1306" w:type="dxa"/>
            <w:tcBorders>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280" w:type="dxa"/>
            <w:tcBorders>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 </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tcBorders>
              <w:bottom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r w:rsidRPr="002A24CC">
              <w:rPr>
                <w:rFonts w:ascii="Arial" w:eastAsia="Times New Roman" w:hAnsi="Arial" w:cs="Arial"/>
                <w:sz w:val="20"/>
                <w:szCs w:val="20"/>
                <w:lang w:eastAsia="en-GB"/>
              </w:rPr>
              <w:t>Cost of sales</w:t>
            </w:r>
          </w:p>
        </w:tc>
        <w:tc>
          <w:tcPr>
            <w:tcW w:w="1471" w:type="dxa"/>
            <w:tcBorders>
              <w:bottom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(22,212)</w:t>
            </w:r>
          </w:p>
        </w:tc>
        <w:tc>
          <w:tcPr>
            <w:tcW w:w="1450" w:type="dxa"/>
            <w:tcBorders>
              <w:bottom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w:t>
            </w:r>
          </w:p>
        </w:tc>
        <w:tc>
          <w:tcPr>
            <w:tcW w:w="1246" w:type="dxa"/>
            <w:tcBorders>
              <w:left w:val="single" w:sz="4" w:space="0" w:color="auto"/>
              <w:bottom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(22,212)</w:t>
            </w:r>
          </w:p>
        </w:tc>
        <w:tc>
          <w:tcPr>
            <w:tcW w:w="1306" w:type="dxa"/>
            <w:tcBorders>
              <w:left w:val="single" w:sz="4" w:space="0" w:color="auto"/>
              <w:bottom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(21,178)</w:t>
            </w:r>
          </w:p>
        </w:tc>
        <w:tc>
          <w:tcPr>
            <w:tcW w:w="1328" w:type="dxa"/>
            <w:tcBorders>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w:t>
            </w:r>
          </w:p>
        </w:tc>
        <w:tc>
          <w:tcPr>
            <w:tcW w:w="1280" w:type="dxa"/>
            <w:tcBorders>
              <w:left w:val="single" w:sz="4" w:space="0" w:color="auto"/>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(21,178)</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b/>
                <w:bCs/>
                <w:sz w:val="16"/>
                <w:szCs w:val="16"/>
                <w:lang w:eastAsia="en-GB"/>
              </w:rPr>
            </w:pPr>
          </w:p>
        </w:tc>
        <w:tc>
          <w:tcPr>
            <w:tcW w:w="2864" w:type="dxa"/>
            <w:tcBorders>
              <w:top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r w:rsidRPr="002A24CC">
              <w:rPr>
                <w:rFonts w:ascii="Arial" w:eastAsia="Times New Roman" w:hAnsi="Arial" w:cs="Arial"/>
                <w:b/>
                <w:bCs/>
                <w:sz w:val="20"/>
                <w:szCs w:val="20"/>
                <w:lang w:eastAsia="en-GB"/>
              </w:rPr>
              <w:t>Gross profit</w:t>
            </w:r>
          </w:p>
        </w:tc>
        <w:tc>
          <w:tcPr>
            <w:tcW w:w="1471" w:type="dxa"/>
            <w:tcBorders>
              <w:top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16,051</w:t>
            </w:r>
          </w:p>
        </w:tc>
        <w:tc>
          <w:tcPr>
            <w:tcW w:w="1450" w:type="dxa"/>
            <w:tcBorders>
              <w:top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w:t>
            </w:r>
          </w:p>
        </w:tc>
        <w:tc>
          <w:tcPr>
            <w:tcW w:w="1246"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16,051</w:t>
            </w:r>
          </w:p>
        </w:tc>
        <w:tc>
          <w:tcPr>
            <w:tcW w:w="1306" w:type="dxa"/>
            <w:tcBorders>
              <w:top w:val="single" w:sz="4" w:space="0" w:color="auto"/>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14,418</w:t>
            </w:r>
          </w:p>
        </w:tc>
        <w:tc>
          <w:tcPr>
            <w:tcW w:w="1328" w:type="dxa"/>
            <w:tcBorders>
              <w:top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w:t>
            </w:r>
          </w:p>
        </w:tc>
        <w:tc>
          <w:tcPr>
            <w:tcW w:w="1280"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14,418</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tcBorders>
              <w:bottom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p>
        </w:tc>
        <w:tc>
          <w:tcPr>
            <w:tcW w:w="1471" w:type="dxa"/>
            <w:tcBorders>
              <w:bottom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p>
        </w:tc>
        <w:tc>
          <w:tcPr>
            <w:tcW w:w="1450" w:type="dxa"/>
            <w:tcBorders>
              <w:bottom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p>
        </w:tc>
        <w:tc>
          <w:tcPr>
            <w:tcW w:w="1246" w:type="dxa"/>
            <w:tcBorders>
              <w:left w:val="single" w:sz="4" w:space="0" w:color="auto"/>
              <w:bottom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 </w:t>
            </w:r>
          </w:p>
        </w:tc>
        <w:tc>
          <w:tcPr>
            <w:tcW w:w="1306" w:type="dxa"/>
            <w:tcBorders>
              <w:left w:val="single" w:sz="4" w:space="0" w:color="auto"/>
              <w:bottom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328" w:type="dxa"/>
            <w:tcBorders>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280" w:type="dxa"/>
            <w:tcBorders>
              <w:left w:val="single" w:sz="4" w:space="0" w:color="auto"/>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 </w:t>
            </w:r>
          </w:p>
        </w:tc>
      </w:tr>
      <w:tr w:rsidR="00DC654E" w:rsidRPr="002A24CC">
        <w:trPr>
          <w:trHeight w:val="57"/>
          <w:jc w:val="center"/>
        </w:trPr>
        <w:tc>
          <w:tcPr>
            <w:tcW w:w="222" w:type="dxa"/>
            <w:tcBorders>
              <w:right w:val="single" w:sz="4" w:space="0" w:color="auto"/>
            </w:tcBorders>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tcBorders>
              <w:top w:val="single" w:sz="4" w:space="0" w:color="auto"/>
              <w:left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r w:rsidRPr="002A24CC">
              <w:rPr>
                <w:rFonts w:ascii="Arial" w:eastAsia="Times New Roman" w:hAnsi="Arial" w:cs="Arial"/>
                <w:sz w:val="20"/>
                <w:szCs w:val="20"/>
                <w:lang w:eastAsia="en-GB"/>
              </w:rPr>
              <w:t>Other administrative expenses</w:t>
            </w:r>
          </w:p>
        </w:tc>
        <w:tc>
          <w:tcPr>
            <w:tcW w:w="1471" w:type="dxa"/>
            <w:tcBorders>
              <w:top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(12,235)</w:t>
            </w:r>
          </w:p>
        </w:tc>
        <w:tc>
          <w:tcPr>
            <w:tcW w:w="1450" w:type="dxa"/>
            <w:tcBorders>
              <w:top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w:t>
            </w:r>
          </w:p>
        </w:tc>
        <w:tc>
          <w:tcPr>
            <w:tcW w:w="1246"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(12,235)</w:t>
            </w:r>
          </w:p>
        </w:tc>
        <w:tc>
          <w:tcPr>
            <w:tcW w:w="1306" w:type="dxa"/>
            <w:tcBorders>
              <w:top w:val="single" w:sz="4" w:space="0" w:color="auto"/>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(10,916)</w:t>
            </w:r>
          </w:p>
        </w:tc>
        <w:tc>
          <w:tcPr>
            <w:tcW w:w="1328" w:type="dxa"/>
            <w:tcBorders>
              <w:top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w:t>
            </w:r>
          </w:p>
        </w:tc>
        <w:tc>
          <w:tcPr>
            <w:tcW w:w="1280"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(10,916)</w:t>
            </w:r>
          </w:p>
        </w:tc>
      </w:tr>
      <w:tr w:rsidR="00DC654E" w:rsidRPr="002A24CC">
        <w:trPr>
          <w:trHeight w:val="57"/>
          <w:jc w:val="center"/>
        </w:trPr>
        <w:tc>
          <w:tcPr>
            <w:tcW w:w="222" w:type="dxa"/>
            <w:tcBorders>
              <w:right w:val="single" w:sz="4" w:space="0" w:color="auto"/>
            </w:tcBorders>
            <w:vAlign w:val="bottom"/>
          </w:tcPr>
          <w:p w:rsidR="00DC654E" w:rsidRPr="002A24CC" w:rsidRDefault="00DC654E" w:rsidP="00DD3B38">
            <w:pPr>
              <w:spacing w:after="0" w:line="240" w:lineRule="auto"/>
              <w:contextualSpacing/>
              <w:rPr>
                <w:rFonts w:ascii="Arial" w:eastAsia="Times New Roman" w:hAnsi="Arial" w:cs="Arial"/>
                <w:sz w:val="16"/>
                <w:szCs w:val="16"/>
                <w:lang w:eastAsia="en-GB"/>
              </w:rPr>
            </w:pPr>
          </w:p>
        </w:tc>
        <w:tc>
          <w:tcPr>
            <w:tcW w:w="2864" w:type="dxa"/>
            <w:tcBorders>
              <w:left w:val="single" w:sz="4" w:space="0" w:color="auto"/>
            </w:tcBorders>
            <w:shd w:val="clear" w:color="auto" w:fill="auto"/>
            <w:noWrap/>
            <w:vAlign w:val="bottom"/>
          </w:tcPr>
          <w:p w:rsidR="00DC654E" w:rsidRPr="002A24CC" w:rsidRDefault="00DC654E" w:rsidP="00DD3B38">
            <w:pPr>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Fund raising expenses</w:t>
            </w:r>
          </w:p>
        </w:tc>
        <w:tc>
          <w:tcPr>
            <w:tcW w:w="1471" w:type="dxa"/>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w:t>
            </w:r>
          </w:p>
        </w:tc>
        <w:tc>
          <w:tcPr>
            <w:tcW w:w="1450" w:type="dxa"/>
            <w:tcBorders>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w:t>
            </w:r>
          </w:p>
        </w:tc>
        <w:tc>
          <w:tcPr>
            <w:tcW w:w="1246" w:type="dxa"/>
            <w:tcBorders>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w:t>
            </w:r>
          </w:p>
        </w:tc>
        <w:tc>
          <w:tcPr>
            <w:tcW w:w="1306" w:type="dxa"/>
            <w:tcBorders>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w:t>
            </w: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(682)</w:t>
            </w:r>
          </w:p>
        </w:tc>
        <w:tc>
          <w:tcPr>
            <w:tcW w:w="1280" w:type="dxa"/>
            <w:tcBorders>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(682)</w:t>
            </w:r>
          </w:p>
        </w:tc>
      </w:tr>
      <w:tr w:rsidR="00DC654E" w:rsidRPr="002A24CC">
        <w:trPr>
          <w:trHeight w:val="57"/>
          <w:jc w:val="center"/>
        </w:trPr>
        <w:tc>
          <w:tcPr>
            <w:tcW w:w="222" w:type="dxa"/>
            <w:tcBorders>
              <w:right w:val="single" w:sz="4" w:space="0" w:color="auto"/>
            </w:tcBorders>
            <w:vAlign w:val="bottom"/>
          </w:tcPr>
          <w:p w:rsidR="00DC654E" w:rsidRPr="002A24CC" w:rsidRDefault="00DC654E" w:rsidP="00DD3B38">
            <w:pPr>
              <w:spacing w:after="0" w:line="240" w:lineRule="auto"/>
              <w:contextualSpacing/>
              <w:rPr>
                <w:rFonts w:ascii="Arial" w:eastAsia="Times New Roman" w:hAnsi="Arial" w:cs="Arial"/>
                <w:sz w:val="16"/>
                <w:szCs w:val="16"/>
                <w:lang w:eastAsia="en-GB"/>
              </w:rPr>
            </w:pPr>
          </w:p>
        </w:tc>
        <w:tc>
          <w:tcPr>
            <w:tcW w:w="2864" w:type="dxa"/>
            <w:tcBorders>
              <w:left w:val="single" w:sz="4" w:space="0" w:color="auto"/>
            </w:tcBorders>
            <w:shd w:val="clear" w:color="auto" w:fill="auto"/>
            <w:noWrap/>
            <w:vAlign w:val="bottom"/>
          </w:tcPr>
          <w:p w:rsidR="00DC654E" w:rsidRPr="002A24CC" w:rsidRDefault="00DC654E" w:rsidP="00DD3B38">
            <w:pPr>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Gain on sale of FOGL shares</w:t>
            </w:r>
          </w:p>
        </w:tc>
        <w:tc>
          <w:tcPr>
            <w:tcW w:w="1471" w:type="dxa"/>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w:t>
            </w:r>
          </w:p>
        </w:tc>
        <w:tc>
          <w:tcPr>
            <w:tcW w:w="1450" w:type="dxa"/>
            <w:tcBorders>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w:t>
            </w:r>
          </w:p>
        </w:tc>
        <w:tc>
          <w:tcPr>
            <w:tcW w:w="1246" w:type="dxa"/>
            <w:tcBorders>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w:t>
            </w:r>
          </w:p>
        </w:tc>
        <w:tc>
          <w:tcPr>
            <w:tcW w:w="1306" w:type="dxa"/>
            <w:tcBorders>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w:t>
            </w: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768</w:t>
            </w:r>
          </w:p>
        </w:tc>
        <w:tc>
          <w:tcPr>
            <w:tcW w:w="1280" w:type="dxa"/>
            <w:tcBorders>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768</w:t>
            </w:r>
          </w:p>
        </w:tc>
      </w:tr>
      <w:tr w:rsidR="00DC654E" w:rsidRPr="002A24CC">
        <w:trPr>
          <w:trHeight w:val="57"/>
          <w:jc w:val="center"/>
        </w:trPr>
        <w:tc>
          <w:tcPr>
            <w:tcW w:w="222" w:type="dxa"/>
            <w:tcBorders>
              <w:right w:val="single" w:sz="4" w:space="0" w:color="auto"/>
            </w:tcBorders>
            <w:vAlign w:val="bottom"/>
          </w:tcPr>
          <w:p w:rsidR="00DC654E" w:rsidRPr="002A24CC" w:rsidRDefault="00DC654E" w:rsidP="00DD3B38">
            <w:pPr>
              <w:spacing w:after="0" w:line="240" w:lineRule="auto"/>
              <w:contextualSpacing/>
              <w:rPr>
                <w:rFonts w:ascii="Arial" w:eastAsia="Times New Roman" w:hAnsi="Arial" w:cs="Arial"/>
                <w:sz w:val="16"/>
                <w:szCs w:val="16"/>
                <w:lang w:eastAsia="en-GB"/>
              </w:rPr>
            </w:pPr>
          </w:p>
        </w:tc>
        <w:tc>
          <w:tcPr>
            <w:tcW w:w="2864" w:type="dxa"/>
            <w:tcBorders>
              <w:left w:val="single" w:sz="4" w:space="0" w:color="auto"/>
            </w:tcBorders>
            <w:shd w:val="clear" w:color="auto" w:fill="auto"/>
            <w:noWrap/>
            <w:vAlign w:val="bottom"/>
          </w:tcPr>
          <w:p w:rsidR="00DC654E" w:rsidRPr="002A24CC" w:rsidRDefault="00DC654E" w:rsidP="00DD3B38">
            <w:pPr>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Net settlement</w:t>
            </w:r>
            <w:r w:rsidR="00CF3306">
              <w:rPr>
                <w:rFonts w:ascii="Arial" w:eastAsia="Times New Roman" w:hAnsi="Arial" w:cs="Arial"/>
                <w:sz w:val="20"/>
                <w:szCs w:val="20"/>
                <w:lang w:eastAsia="en-GB"/>
              </w:rPr>
              <w:t xml:space="preserve"> </w:t>
            </w:r>
            <w:r w:rsidR="00047E65">
              <w:rPr>
                <w:rFonts w:ascii="Arial" w:eastAsia="Times New Roman" w:hAnsi="Arial" w:cs="Arial"/>
                <w:sz w:val="20"/>
                <w:szCs w:val="20"/>
                <w:lang w:eastAsia="en-GB"/>
              </w:rPr>
              <w:t>gain /</w:t>
            </w:r>
            <w:r>
              <w:rPr>
                <w:rFonts w:ascii="Arial" w:eastAsia="Times New Roman" w:hAnsi="Arial" w:cs="Arial"/>
                <w:sz w:val="20"/>
                <w:szCs w:val="20"/>
                <w:lang w:eastAsia="en-GB"/>
              </w:rPr>
              <w:t xml:space="preserve"> </w:t>
            </w:r>
            <w:r w:rsidR="00CF3306">
              <w:rPr>
                <w:rFonts w:ascii="Arial" w:eastAsia="Times New Roman" w:hAnsi="Arial" w:cs="Arial"/>
                <w:sz w:val="20"/>
                <w:szCs w:val="20"/>
                <w:lang w:eastAsia="en-GB"/>
              </w:rPr>
              <w:t>(</w:t>
            </w:r>
            <w:r>
              <w:rPr>
                <w:rFonts w:ascii="Arial" w:eastAsia="Times New Roman" w:hAnsi="Arial" w:cs="Arial"/>
                <w:sz w:val="20"/>
                <w:szCs w:val="20"/>
                <w:lang w:eastAsia="en-GB"/>
              </w:rPr>
              <w:t>loss</w:t>
            </w:r>
            <w:r w:rsidR="00CF3306">
              <w:rPr>
                <w:rFonts w:ascii="Arial" w:eastAsia="Times New Roman" w:hAnsi="Arial" w:cs="Arial"/>
                <w:sz w:val="20"/>
                <w:szCs w:val="20"/>
                <w:lang w:eastAsia="en-GB"/>
              </w:rPr>
              <w:t>)</w:t>
            </w:r>
            <w:r>
              <w:rPr>
                <w:rFonts w:ascii="Arial" w:eastAsia="Times New Roman" w:hAnsi="Arial" w:cs="Arial"/>
                <w:sz w:val="20"/>
                <w:szCs w:val="20"/>
                <w:lang w:eastAsia="en-GB"/>
              </w:rPr>
              <w:t xml:space="preserve"> on the transfer of the PHFC pension scheme</w:t>
            </w:r>
          </w:p>
        </w:tc>
        <w:tc>
          <w:tcPr>
            <w:tcW w:w="1471" w:type="dxa"/>
            <w:shd w:val="clear" w:color="auto" w:fill="auto"/>
            <w:noWrap/>
            <w:vAlign w:val="bottom"/>
          </w:tcPr>
          <w:p w:rsidR="00DC654E" w:rsidRPr="00DC654E" w:rsidRDefault="00C7435B" w:rsidP="00DC654E">
            <w:pPr>
              <w:spacing w:after="0" w:line="240" w:lineRule="auto"/>
              <w:contextualSpacing/>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450" w:type="dxa"/>
            <w:tcBorders>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64</w:t>
            </w:r>
          </w:p>
        </w:tc>
        <w:tc>
          <w:tcPr>
            <w:tcW w:w="1246" w:type="dxa"/>
            <w:tcBorders>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64</w:t>
            </w:r>
          </w:p>
        </w:tc>
        <w:tc>
          <w:tcPr>
            <w:tcW w:w="1306" w:type="dxa"/>
            <w:tcBorders>
              <w:left w:val="single" w:sz="4" w:space="0" w:color="auto"/>
            </w:tcBorders>
            <w:shd w:val="clear" w:color="auto" w:fill="auto"/>
            <w:noWrap/>
            <w:vAlign w:val="bottom"/>
          </w:tcPr>
          <w:p w:rsidR="00DC654E" w:rsidRPr="00DC654E" w:rsidRDefault="00C7435B" w:rsidP="004036E9">
            <w:pPr>
              <w:spacing w:after="0" w:line="240" w:lineRule="auto"/>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(182)</w:t>
            </w:r>
          </w:p>
        </w:tc>
        <w:tc>
          <w:tcPr>
            <w:tcW w:w="1280" w:type="dxa"/>
            <w:tcBorders>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(182)</w:t>
            </w:r>
          </w:p>
        </w:tc>
      </w:tr>
      <w:tr w:rsidR="00DC654E" w:rsidRPr="002A24CC">
        <w:trPr>
          <w:trHeight w:val="57"/>
          <w:jc w:val="center"/>
        </w:trPr>
        <w:tc>
          <w:tcPr>
            <w:tcW w:w="222" w:type="dxa"/>
            <w:tcBorders>
              <w:right w:val="single" w:sz="4" w:space="0" w:color="auto"/>
            </w:tcBorders>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tcBorders>
              <w:left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r w:rsidRPr="002A24CC">
              <w:rPr>
                <w:rFonts w:ascii="Arial" w:eastAsia="Times New Roman" w:hAnsi="Arial" w:cs="Arial"/>
                <w:sz w:val="20"/>
                <w:szCs w:val="20"/>
                <w:lang w:eastAsia="en-GB"/>
              </w:rPr>
              <w:t>Amortisation of intangible assets</w:t>
            </w:r>
          </w:p>
        </w:tc>
        <w:tc>
          <w:tcPr>
            <w:tcW w:w="1471" w:type="dxa"/>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w:t>
            </w:r>
          </w:p>
        </w:tc>
        <w:tc>
          <w:tcPr>
            <w:tcW w:w="1450" w:type="dxa"/>
            <w:tcBorders>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(307)</w:t>
            </w:r>
          </w:p>
        </w:tc>
        <w:tc>
          <w:tcPr>
            <w:tcW w:w="1246" w:type="dxa"/>
            <w:tcBorders>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(307)</w:t>
            </w:r>
          </w:p>
        </w:tc>
        <w:tc>
          <w:tcPr>
            <w:tcW w:w="1306" w:type="dxa"/>
            <w:tcBorders>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w:t>
            </w: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(398)</w:t>
            </w:r>
          </w:p>
        </w:tc>
        <w:tc>
          <w:tcPr>
            <w:tcW w:w="1280" w:type="dxa"/>
            <w:tcBorders>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(398)</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b/>
                <w:bCs/>
                <w:sz w:val="16"/>
                <w:szCs w:val="16"/>
                <w:lang w:eastAsia="en-GB"/>
              </w:rPr>
            </w:pPr>
          </w:p>
        </w:tc>
        <w:tc>
          <w:tcPr>
            <w:tcW w:w="2864" w:type="dxa"/>
            <w:tcBorders>
              <w:top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b/>
                <w:bCs/>
                <w:sz w:val="20"/>
                <w:szCs w:val="20"/>
                <w:lang w:eastAsia="en-GB"/>
              </w:rPr>
            </w:pPr>
            <w:r w:rsidRPr="002A24CC">
              <w:rPr>
                <w:rFonts w:ascii="Arial" w:eastAsia="Times New Roman" w:hAnsi="Arial" w:cs="Arial"/>
                <w:b/>
                <w:bCs/>
                <w:sz w:val="20"/>
                <w:szCs w:val="20"/>
                <w:lang w:eastAsia="en-GB"/>
              </w:rPr>
              <w:t>Operating expenses</w:t>
            </w:r>
          </w:p>
        </w:tc>
        <w:tc>
          <w:tcPr>
            <w:tcW w:w="1471" w:type="dxa"/>
            <w:tcBorders>
              <w:top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(12,235)</w:t>
            </w:r>
          </w:p>
        </w:tc>
        <w:tc>
          <w:tcPr>
            <w:tcW w:w="1450" w:type="dxa"/>
            <w:tcBorders>
              <w:top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(243)</w:t>
            </w:r>
          </w:p>
        </w:tc>
        <w:tc>
          <w:tcPr>
            <w:tcW w:w="1246"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(12,478)</w:t>
            </w:r>
          </w:p>
        </w:tc>
        <w:tc>
          <w:tcPr>
            <w:tcW w:w="1306" w:type="dxa"/>
            <w:tcBorders>
              <w:top w:val="single" w:sz="4" w:space="0" w:color="auto"/>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(10,916)</w:t>
            </w:r>
          </w:p>
        </w:tc>
        <w:tc>
          <w:tcPr>
            <w:tcW w:w="1328" w:type="dxa"/>
            <w:tcBorders>
              <w:top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(494)</w:t>
            </w:r>
          </w:p>
        </w:tc>
        <w:tc>
          <w:tcPr>
            <w:tcW w:w="1280"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(11,410)</w:t>
            </w:r>
          </w:p>
        </w:tc>
      </w:tr>
      <w:tr w:rsidR="00DC654E" w:rsidRPr="002A24CC" w:rsidTr="00DC654E">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tcBorders>
              <w:bottom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p>
        </w:tc>
        <w:tc>
          <w:tcPr>
            <w:tcW w:w="1471" w:type="dxa"/>
            <w:tcBorders>
              <w:bottom w:val="single" w:sz="4" w:space="0" w:color="auto"/>
            </w:tcBorders>
            <w:shd w:val="clear" w:color="auto" w:fill="auto"/>
            <w:noWrap/>
            <w:vAlign w:val="bottom"/>
          </w:tcPr>
          <w:p w:rsidR="00DC654E" w:rsidRPr="00C71D7E" w:rsidRDefault="00DC654E" w:rsidP="00C71D7E">
            <w:pPr>
              <w:spacing w:after="0" w:line="240" w:lineRule="auto"/>
              <w:contextualSpacing/>
              <w:jc w:val="right"/>
              <w:rPr>
                <w:rFonts w:ascii="Arial" w:eastAsia="Times New Roman" w:hAnsi="Arial" w:cs="Arial"/>
                <w:b/>
                <w:bCs/>
                <w:sz w:val="20"/>
                <w:szCs w:val="20"/>
                <w:lang w:eastAsia="en-GB"/>
              </w:rPr>
            </w:pPr>
            <w:r w:rsidRPr="00C71D7E">
              <w:rPr>
                <w:rFonts w:ascii="Arial" w:eastAsia="Times New Roman" w:hAnsi="Arial" w:cs="Arial"/>
                <w:b/>
                <w:bCs/>
                <w:sz w:val="20"/>
                <w:szCs w:val="20"/>
                <w:lang w:eastAsia="en-GB"/>
              </w:rPr>
              <w:t> </w:t>
            </w:r>
          </w:p>
        </w:tc>
        <w:tc>
          <w:tcPr>
            <w:tcW w:w="1450" w:type="dxa"/>
            <w:tcBorders>
              <w:bottom w:val="single" w:sz="4" w:space="0" w:color="auto"/>
              <w:right w:val="single" w:sz="4" w:space="0" w:color="auto"/>
            </w:tcBorders>
            <w:shd w:val="clear" w:color="auto" w:fill="auto"/>
            <w:noWrap/>
            <w:vAlign w:val="bottom"/>
          </w:tcPr>
          <w:p w:rsidR="00DC654E" w:rsidRPr="00C71D7E" w:rsidRDefault="00DC654E" w:rsidP="00C71D7E">
            <w:pPr>
              <w:spacing w:after="0" w:line="240" w:lineRule="auto"/>
              <w:contextualSpacing/>
              <w:jc w:val="right"/>
              <w:rPr>
                <w:rFonts w:ascii="Arial" w:eastAsia="Times New Roman" w:hAnsi="Arial" w:cs="Arial"/>
                <w:b/>
                <w:bCs/>
                <w:sz w:val="20"/>
                <w:szCs w:val="20"/>
                <w:lang w:eastAsia="en-GB"/>
              </w:rPr>
            </w:pPr>
            <w:r w:rsidRPr="00C71D7E">
              <w:rPr>
                <w:rFonts w:ascii="Arial" w:eastAsia="Times New Roman" w:hAnsi="Arial" w:cs="Arial"/>
                <w:b/>
                <w:bCs/>
                <w:sz w:val="20"/>
                <w:szCs w:val="20"/>
                <w:lang w:eastAsia="en-GB"/>
              </w:rPr>
              <w:t> </w:t>
            </w:r>
          </w:p>
        </w:tc>
        <w:tc>
          <w:tcPr>
            <w:tcW w:w="1246" w:type="dxa"/>
            <w:tcBorders>
              <w:left w:val="single" w:sz="4" w:space="0" w:color="auto"/>
              <w:bottom w:val="single" w:sz="4" w:space="0" w:color="auto"/>
              <w:right w:val="single" w:sz="4" w:space="0" w:color="auto"/>
            </w:tcBorders>
            <w:shd w:val="clear" w:color="auto" w:fill="auto"/>
            <w:noWrap/>
            <w:vAlign w:val="bottom"/>
          </w:tcPr>
          <w:p w:rsidR="00DC654E" w:rsidRPr="00C71D7E" w:rsidRDefault="00DC654E" w:rsidP="00C71D7E">
            <w:pPr>
              <w:spacing w:after="0" w:line="240" w:lineRule="auto"/>
              <w:contextualSpacing/>
              <w:jc w:val="right"/>
              <w:rPr>
                <w:rFonts w:ascii="Arial" w:eastAsia="Times New Roman" w:hAnsi="Arial" w:cs="Arial"/>
                <w:b/>
                <w:bCs/>
                <w:sz w:val="20"/>
                <w:szCs w:val="20"/>
                <w:lang w:eastAsia="en-GB"/>
              </w:rPr>
            </w:pPr>
            <w:r w:rsidRPr="00C71D7E">
              <w:rPr>
                <w:rFonts w:ascii="Arial" w:eastAsia="Times New Roman" w:hAnsi="Arial" w:cs="Arial"/>
                <w:b/>
                <w:bCs/>
                <w:sz w:val="20"/>
                <w:szCs w:val="20"/>
                <w:lang w:eastAsia="en-GB"/>
              </w:rPr>
              <w:t> </w:t>
            </w:r>
          </w:p>
        </w:tc>
        <w:tc>
          <w:tcPr>
            <w:tcW w:w="1306" w:type="dxa"/>
            <w:tcBorders>
              <w:left w:val="single" w:sz="4" w:space="0" w:color="auto"/>
              <w:bottom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 </w:t>
            </w:r>
          </w:p>
        </w:tc>
        <w:tc>
          <w:tcPr>
            <w:tcW w:w="1328" w:type="dxa"/>
            <w:tcBorders>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 </w:t>
            </w:r>
          </w:p>
        </w:tc>
        <w:tc>
          <w:tcPr>
            <w:tcW w:w="1280" w:type="dxa"/>
            <w:tcBorders>
              <w:left w:val="single" w:sz="4" w:space="0" w:color="auto"/>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 </w:t>
            </w:r>
          </w:p>
        </w:tc>
      </w:tr>
      <w:tr w:rsidR="00DC654E" w:rsidRPr="002A24CC" w:rsidTr="00DC654E">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b/>
                <w:bCs/>
                <w:sz w:val="16"/>
                <w:szCs w:val="16"/>
                <w:lang w:eastAsia="en-GB"/>
              </w:rPr>
            </w:pPr>
          </w:p>
        </w:tc>
        <w:tc>
          <w:tcPr>
            <w:tcW w:w="2864" w:type="dxa"/>
            <w:tcBorders>
              <w:top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b/>
                <w:bCs/>
                <w:sz w:val="20"/>
                <w:szCs w:val="20"/>
                <w:lang w:eastAsia="en-GB"/>
              </w:rPr>
            </w:pPr>
            <w:r w:rsidRPr="002A24CC">
              <w:rPr>
                <w:rFonts w:ascii="Arial" w:eastAsia="Times New Roman" w:hAnsi="Arial" w:cs="Arial"/>
                <w:b/>
                <w:bCs/>
                <w:sz w:val="20"/>
                <w:szCs w:val="20"/>
                <w:lang w:eastAsia="en-GB"/>
              </w:rPr>
              <w:t>Operating profit</w:t>
            </w:r>
          </w:p>
        </w:tc>
        <w:tc>
          <w:tcPr>
            <w:tcW w:w="1471" w:type="dxa"/>
            <w:tcBorders>
              <w:top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3,816</w:t>
            </w:r>
          </w:p>
        </w:tc>
        <w:tc>
          <w:tcPr>
            <w:tcW w:w="1450" w:type="dxa"/>
            <w:tcBorders>
              <w:top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(243)</w:t>
            </w:r>
          </w:p>
        </w:tc>
        <w:tc>
          <w:tcPr>
            <w:tcW w:w="1246"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3,573</w:t>
            </w:r>
          </w:p>
        </w:tc>
        <w:tc>
          <w:tcPr>
            <w:tcW w:w="1306" w:type="dxa"/>
            <w:tcBorders>
              <w:top w:val="single" w:sz="4" w:space="0" w:color="auto"/>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3,502</w:t>
            </w:r>
          </w:p>
        </w:tc>
        <w:tc>
          <w:tcPr>
            <w:tcW w:w="1328" w:type="dxa"/>
            <w:tcBorders>
              <w:top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(494)</w:t>
            </w:r>
          </w:p>
        </w:tc>
        <w:tc>
          <w:tcPr>
            <w:tcW w:w="1280"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3,008</w:t>
            </w:r>
          </w:p>
        </w:tc>
      </w:tr>
      <w:tr w:rsidR="00DC654E" w:rsidRPr="002A24CC" w:rsidTr="00DC654E">
        <w:trPr>
          <w:trHeight w:val="57"/>
          <w:jc w:val="center"/>
        </w:trPr>
        <w:tc>
          <w:tcPr>
            <w:tcW w:w="222" w:type="dxa"/>
            <w:vAlign w:val="bottom"/>
          </w:tcPr>
          <w:p w:rsidR="00DC654E" w:rsidRPr="002A24CC" w:rsidRDefault="00DC654E" w:rsidP="004036E9">
            <w:pPr>
              <w:spacing w:after="0" w:line="240" w:lineRule="auto"/>
              <w:contextualSpacing/>
              <w:rPr>
                <w:rFonts w:ascii="Arial" w:eastAsia="Times New Roman" w:hAnsi="Arial" w:cs="Arial"/>
                <w:sz w:val="16"/>
                <w:szCs w:val="16"/>
                <w:lang w:eastAsia="en-GB"/>
              </w:rPr>
            </w:pPr>
          </w:p>
        </w:tc>
        <w:tc>
          <w:tcPr>
            <w:tcW w:w="2864" w:type="dxa"/>
            <w:shd w:val="clear" w:color="auto" w:fill="auto"/>
            <w:noWrap/>
            <w:vAlign w:val="bottom"/>
          </w:tcPr>
          <w:p w:rsidR="00DC654E" w:rsidRPr="002A24CC" w:rsidRDefault="00DC654E" w:rsidP="004036E9">
            <w:pPr>
              <w:spacing w:after="0" w:line="240" w:lineRule="auto"/>
              <w:contextualSpacing/>
              <w:rPr>
                <w:rFonts w:ascii="Arial" w:eastAsia="Times New Roman" w:hAnsi="Arial" w:cs="Arial"/>
                <w:sz w:val="20"/>
                <w:szCs w:val="20"/>
                <w:lang w:eastAsia="en-GB"/>
              </w:rPr>
            </w:pPr>
          </w:p>
        </w:tc>
        <w:tc>
          <w:tcPr>
            <w:tcW w:w="1471" w:type="dxa"/>
            <w:shd w:val="clear" w:color="auto" w:fill="auto"/>
            <w:noWrap/>
            <w:vAlign w:val="bottom"/>
          </w:tcPr>
          <w:p w:rsidR="00DC654E" w:rsidRPr="00C71D7E" w:rsidRDefault="00DC654E" w:rsidP="004036E9">
            <w:pPr>
              <w:spacing w:after="0" w:line="240" w:lineRule="auto"/>
              <w:contextualSpacing/>
              <w:jc w:val="right"/>
              <w:rPr>
                <w:rFonts w:ascii="Arial" w:eastAsia="Times New Roman" w:hAnsi="Arial" w:cs="Arial"/>
                <w:b/>
                <w:bCs/>
                <w:sz w:val="20"/>
                <w:szCs w:val="20"/>
                <w:lang w:eastAsia="en-GB"/>
              </w:rPr>
            </w:pPr>
          </w:p>
        </w:tc>
        <w:tc>
          <w:tcPr>
            <w:tcW w:w="1450" w:type="dxa"/>
            <w:tcBorders>
              <w:right w:val="single" w:sz="4" w:space="0" w:color="auto"/>
            </w:tcBorders>
            <w:shd w:val="clear" w:color="auto" w:fill="auto"/>
            <w:noWrap/>
            <w:vAlign w:val="bottom"/>
          </w:tcPr>
          <w:p w:rsidR="00DC654E" w:rsidRPr="00C71D7E" w:rsidRDefault="00DC654E" w:rsidP="004036E9">
            <w:pPr>
              <w:spacing w:after="0" w:line="240" w:lineRule="auto"/>
              <w:contextualSpacing/>
              <w:jc w:val="right"/>
              <w:rPr>
                <w:rFonts w:ascii="Arial" w:eastAsia="Times New Roman" w:hAnsi="Arial" w:cs="Arial"/>
                <w:b/>
                <w:bCs/>
                <w:sz w:val="20"/>
                <w:szCs w:val="20"/>
                <w:lang w:eastAsia="en-GB"/>
              </w:rPr>
            </w:pPr>
          </w:p>
        </w:tc>
        <w:tc>
          <w:tcPr>
            <w:tcW w:w="1246" w:type="dxa"/>
            <w:tcBorders>
              <w:left w:val="single" w:sz="4" w:space="0" w:color="auto"/>
              <w:right w:val="single" w:sz="4" w:space="0" w:color="auto"/>
            </w:tcBorders>
            <w:shd w:val="clear" w:color="auto" w:fill="auto"/>
            <w:noWrap/>
            <w:vAlign w:val="bottom"/>
          </w:tcPr>
          <w:p w:rsidR="00DC654E" w:rsidRPr="00C71D7E" w:rsidRDefault="00DC654E" w:rsidP="004036E9">
            <w:pPr>
              <w:spacing w:after="0" w:line="240" w:lineRule="auto"/>
              <w:contextualSpacing/>
              <w:jc w:val="right"/>
              <w:rPr>
                <w:rFonts w:ascii="Arial" w:eastAsia="Times New Roman" w:hAnsi="Arial" w:cs="Arial"/>
                <w:b/>
                <w:bCs/>
                <w:sz w:val="20"/>
                <w:szCs w:val="20"/>
                <w:lang w:eastAsia="en-GB"/>
              </w:rPr>
            </w:pPr>
            <w:r w:rsidRPr="00C71D7E">
              <w:rPr>
                <w:rFonts w:ascii="Arial" w:eastAsia="Times New Roman" w:hAnsi="Arial" w:cs="Arial"/>
                <w:b/>
                <w:bCs/>
                <w:sz w:val="20"/>
                <w:szCs w:val="20"/>
                <w:lang w:eastAsia="en-GB"/>
              </w:rPr>
              <w:t> </w:t>
            </w:r>
          </w:p>
        </w:tc>
        <w:tc>
          <w:tcPr>
            <w:tcW w:w="1306" w:type="dxa"/>
            <w:tcBorders>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280" w:type="dxa"/>
            <w:tcBorders>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 </w:t>
            </w:r>
          </w:p>
        </w:tc>
      </w:tr>
      <w:tr w:rsidR="00DC654E" w:rsidRPr="002A24CC" w:rsidTr="00DC654E">
        <w:trPr>
          <w:trHeight w:val="57"/>
          <w:jc w:val="center"/>
        </w:trPr>
        <w:tc>
          <w:tcPr>
            <w:tcW w:w="222" w:type="dxa"/>
            <w:vAlign w:val="bottom"/>
          </w:tcPr>
          <w:p w:rsidR="00DC654E" w:rsidRPr="002A24CC" w:rsidRDefault="00DC654E" w:rsidP="004036E9">
            <w:pPr>
              <w:spacing w:after="0" w:line="240" w:lineRule="auto"/>
              <w:contextualSpacing/>
              <w:rPr>
                <w:rFonts w:ascii="Arial" w:eastAsia="Times New Roman" w:hAnsi="Arial" w:cs="Arial"/>
                <w:sz w:val="16"/>
                <w:szCs w:val="16"/>
                <w:lang w:eastAsia="en-GB"/>
              </w:rPr>
            </w:pPr>
          </w:p>
        </w:tc>
        <w:tc>
          <w:tcPr>
            <w:tcW w:w="2864" w:type="dxa"/>
            <w:tcBorders>
              <w:bottom w:val="single" w:sz="4" w:space="0" w:color="auto"/>
            </w:tcBorders>
            <w:shd w:val="clear" w:color="auto" w:fill="auto"/>
            <w:noWrap/>
            <w:vAlign w:val="bottom"/>
          </w:tcPr>
          <w:p w:rsidR="00DC654E" w:rsidRPr="002A24CC" w:rsidRDefault="00DC654E" w:rsidP="004036E9">
            <w:pPr>
              <w:spacing w:after="0" w:line="240" w:lineRule="auto"/>
              <w:contextualSpacing/>
              <w:rPr>
                <w:rFonts w:ascii="Arial" w:eastAsia="Times New Roman" w:hAnsi="Arial" w:cs="Arial"/>
                <w:sz w:val="20"/>
                <w:szCs w:val="20"/>
                <w:lang w:eastAsia="en-GB"/>
              </w:rPr>
            </w:pPr>
            <w:r w:rsidRPr="00DC654E">
              <w:rPr>
                <w:rFonts w:ascii="Arial" w:eastAsia="Times New Roman" w:hAnsi="Arial" w:cs="Arial"/>
                <w:sz w:val="20"/>
                <w:szCs w:val="20"/>
                <w:lang w:eastAsia="en-GB"/>
              </w:rPr>
              <w:t>Share of results of Joint Venture</w:t>
            </w:r>
          </w:p>
        </w:tc>
        <w:tc>
          <w:tcPr>
            <w:tcW w:w="1471" w:type="dxa"/>
            <w:tcBorders>
              <w:bottom w:val="single" w:sz="4" w:space="0" w:color="auto"/>
            </w:tcBorders>
            <w:shd w:val="clear" w:color="auto" w:fill="auto"/>
            <w:noWrap/>
            <w:vAlign w:val="bottom"/>
          </w:tcPr>
          <w:p w:rsidR="00DC654E" w:rsidRPr="00C71D7E" w:rsidRDefault="00DC654E" w:rsidP="004036E9">
            <w:pPr>
              <w:spacing w:after="0" w:line="240" w:lineRule="auto"/>
              <w:contextualSpacing/>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36</w:t>
            </w:r>
          </w:p>
        </w:tc>
        <w:tc>
          <w:tcPr>
            <w:tcW w:w="1450" w:type="dxa"/>
            <w:tcBorders>
              <w:bottom w:val="single" w:sz="4" w:space="0" w:color="auto"/>
              <w:right w:val="single" w:sz="4" w:space="0" w:color="auto"/>
            </w:tcBorders>
            <w:shd w:val="clear" w:color="auto" w:fill="auto"/>
            <w:noWrap/>
            <w:vAlign w:val="bottom"/>
          </w:tcPr>
          <w:p w:rsidR="00DC654E" w:rsidRPr="00C71D7E" w:rsidRDefault="00DC654E" w:rsidP="004036E9">
            <w:pPr>
              <w:spacing w:after="0" w:line="240" w:lineRule="auto"/>
              <w:contextualSpacing/>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c>
          <w:tcPr>
            <w:tcW w:w="1246" w:type="dxa"/>
            <w:tcBorders>
              <w:left w:val="single" w:sz="4" w:space="0" w:color="auto"/>
              <w:bottom w:val="single" w:sz="4" w:space="0" w:color="auto"/>
              <w:right w:val="single" w:sz="4" w:space="0" w:color="auto"/>
            </w:tcBorders>
            <w:shd w:val="clear" w:color="auto" w:fill="auto"/>
            <w:noWrap/>
            <w:vAlign w:val="bottom"/>
          </w:tcPr>
          <w:p w:rsidR="00DC654E" w:rsidRPr="00C71D7E" w:rsidRDefault="00DC654E" w:rsidP="004036E9">
            <w:pPr>
              <w:spacing w:after="0" w:line="240" w:lineRule="auto"/>
              <w:contextualSpacing/>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36</w:t>
            </w:r>
            <w:r w:rsidRPr="00C71D7E">
              <w:rPr>
                <w:rFonts w:ascii="Arial" w:eastAsia="Times New Roman" w:hAnsi="Arial" w:cs="Arial"/>
                <w:b/>
                <w:bCs/>
                <w:sz w:val="20"/>
                <w:szCs w:val="20"/>
                <w:lang w:eastAsia="en-GB"/>
              </w:rPr>
              <w:t> </w:t>
            </w:r>
          </w:p>
        </w:tc>
        <w:tc>
          <w:tcPr>
            <w:tcW w:w="1306" w:type="dxa"/>
            <w:tcBorders>
              <w:left w:val="single" w:sz="4" w:space="0" w:color="auto"/>
              <w:bottom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p>
        </w:tc>
        <w:tc>
          <w:tcPr>
            <w:tcW w:w="1328" w:type="dxa"/>
            <w:tcBorders>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p>
        </w:tc>
        <w:tc>
          <w:tcPr>
            <w:tcW w:w="1280" w:type="dxa"/>
            <w:tcBorders>
              <w:left w:val="single" w:sz="4" w:space="0" w:color="auto"/>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r w:rsidRPr="00DC654E">
              <w:rPr>
                <w:rFonts w:ascii="Arial" w:eastAsia="Times New Roman" w:hAnsi="Arial" w:cs="Arial"/>
                <w:bCs/>
                <w:sz w:val="20"/>
                <w:szCs w:val="20"/>
                <w:lang w:eastAsia="en-GB"/>
              </w:rPr>
              <w:t> </w:t>
            </w:r>
          </w:p>
        </w:tc>
      </w:tr>
      <w:tr w:rsidR="00DC654E" w:rsidRPr="002A24CC" w:rsidTr="00DC654E">
        <w:trPr>
          <w:trHeight w:val="57"/>
          <w:jc w:val="center"/>
        </w:trPr>
        <w:tc>
          <w:tcPr>
            <w:tcW w:w="222" w:type="dxa"/>
            <w:vAlign w:val="bottom"/>
          </w:tcPr>
          <w:p w:rsidR="00DC654E" w:rsidRPr="002A24CC" w:rsidRDefault="00DC654E" w:rsidP="004036E9">
            <w:pPr>
              <w:spacing w:after="0" w:line="240" w:lineRule="auto"/>
              <w:contextualSpacing/>
              <w:rPr>
                <w:rFonts w:ascii="Arial" w:eastAsia="Times New Roman" w:hAnsi="Arial" w:cs="Arial"/>
                <w:sz w:val="16"/>
                <w:szCs w:val="16"/>
                <w:lang w:eastAsia="en-GB"/>
              </w:rPr>
            </w:pPr>
          </w:p>
        </w:tc>
        <w:tc>
          <w:tcPr>
            <w:tcW w:w="2864" w:type="dxa"/>
            <w:tcBorders>
              <w:top w:val="single" w:sz="4" w:space="0" w:color="auto"/>
            </w:tcBorders>
            <w:shd w:val="clear" w:color="auto" w:fill="auto"/>
            <w:noWrap/>
            <w:vAlign w:val="bottom"/>
          </w:tcPr>
          <w:p w:rsidR="00DC654E" w:rsidRPr="002A24CC" w:rsidRDefault="00DC654E" w:rsidP="004036E9">
            <w:pPr>
              <w:spacing w:after="0" w:line="240" w:lineRule="auto"/>
              <w:contextualSpacing/>
              <w:rPr>
                <w:rFonts w:ascii="Arial" w:eastAsia="Times New Roman" w:hAnsi="Arial" w:cs="Arial"/>
                <w:sz w:val="20"/>
                <w:szCs w:val="20"/>
                <w:lang w:eastAsia="en-GB"/>
              </w:rPr>
            </w:pPr>
          </w:p>
        </w:tc>
        <w:tc>
          <w:tcPr>
            <w:tcW w:w="1471" w:type="dxa"/>
            <w:tcBorders>
              <w:top w:val="single" w:sz="4" w:space="0" w:color="auto"/>
            </w:tcBorders>
            <w:shd w:val="clear" w:color="auto" w:fill="auto"/>
            <w:noWrap/>
            <w:vAlign w:val="bottom"/>
          </w:tcPr>
          <w:p w:rsidR="00DC654E" w:rsidRPr="00C71D7E" w:rsidRDefault="00DC654E" w:rsidP="004036E9">
            <w:pPr>
              <w:spacing w:after="0" w:line="240" w:lineRule="auto"/>
              <w:contextualSpacing/>
              <w:jc w:val="right"/>
              <w:rPr>
                <w:rFonts w:ascii="Arial" w:eastAsia="Times New Roman" w:hAnsi="Arial" w:cs="Arial"/>
                <w:b/>
                <w:bCs/>
                <w:sz w:val="20"/>
                <w:szCs w:val="20"/>
                <w:lang w:eastAsia="en-GB"/>
              </w:rPr>
            </w:pPr>
          </w:p>
        </w:tc>
        <w:tc>
          <w:tcPr>
            <w:tcW w:w="1450" w:type="dxa"/>
            <w:tcBorders>
              <w:top w:val="single" w:sz="4" w:space="0" w:color="auto"/>
              <w:right w:val="single" w:sz="4" w:space="0" w:color="auto"/>
            </w:tcBorders>
            <w:shd w:val="clear" w:color="auto" w:fill="auto"/>
            <w:noWrap/>
            <w:vAlign w:val="bottom"/>
          </w:tcPr>
          <w:p w:rsidR="00DC654E" w:rsidRPr="00C71D7E" w:rsidRDefault="00DC654E" w:rsidP="004036E9">
            <w:pPr>
              <w:spacing w:after="0" w:line="240" w:lineRule="auto"/>
              <w:contextualSpacing/>
              <w:jc w:val="right"/>
              <w:rPr>
                <w:rFonts w:ascii="Arial" w:eastAsia="Times New Roman" w:hAnsi="Arial" w:cs="Arial"/>
                <w:b/>
                <w:bCs/>
                <w:sz w:val="20"/>
                <w:szCs w:val="20"/>
                <w:lang w:eastAsia="en-GB"/>
              </w:rPr>
            </w:pPr>
          </w:p>
        </w:tc>
        <w:tc>
          <w:tcPr>
            <w:tcW w:w="1246" w:type="dxa"/>
            <w:tcBorders>
              <w:top w:val="single" w:sz="4" w:space="0" w:color="auto"/>
              <w:left w:val="single" w:sz="4" w:space="0" w:color="auto"/>
              <w:right w:val="single" w:sz="4" w:space="0" w:color="auto"/>
            </w:tcBorders>
            <w:shd w:val="clear" w:color="auto" w:fill="auto"/>
            <w:noWrap/>
            <w:vAlign w:val="bottom"/>
          </w:tcPr>
          <w:p w:rsidR="00DC654E" w:rsidRPr="00C71D7E" w:rsidRDefault="00DC654E" w:rsidP="004036E9">
            <w:pPr>
              <w:spacing w:after="0" w:line="240" w:lineRule="auto"/>
              <w:contextualSpacing/>
              <w:jc w:val="right"/>
              <w:rPr>
                <w:rFonts w:ascii="Arial" w:eastAsia="Times New Roman" w:hAnsi="Arial" w:cs="Arial"/>
                <w:b/>
                <w:bCs/>
                <w:sz w:val="20"/>
                <w:szCs w:val="20"/>
                <w:lang w:eastAsia="en-GB"/>
              </w:rPr>
            </w:pPr>
          </w:p>
        </w:tc>
        <w:tc>
          <w:tcPr>
            <w:tcW w:w="1306" w:type="dxa"/>
            <w:tcBorders>
              <w:top w:val="single" w:sz="4" w:space="0" w:color="auto"/>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328" w:type="dxa"/>
            <w:tcBorders>
              <w:top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280"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r>
      <w:tr w:rsidR="00DC654E" w:rsidRPr="002A24CC" w:rsidTr="00DC654E">
        <w:trPr>
          <w:trHeight w:val="57"/>
          <w:jc w:val="center"/>
        </w:trPr>
        <w:tc>
          <w:tcPr>
            <w:tcW w:w="222" w:type="dxa"/>
            <w:vAlign w:val="bottom"/>
          </w:tcPr>
          <w:p w:rsidR="00DC654E" w:rsidRPr="002A24CC" w:rsidRDefault="00DC654E" w:rsidP="004036E9">
            <w:pPr>
              <w:spacing w:after="0" w:line="240" w:lineRule="auto"/>
              <w:contextualSpacing/>
              <w:rPr>
                <w:rFonts w:ascii="Arial" w:eastAsia="Times New Roman" w:hAnsi="Arial" w:cs="Arial"/>
                <w:sz w:val="16"/>
                <w:szCs w:val="16"/>
                <w:lang w:eastAsia="en-GB"/>
              </w:rPr>
            </w:pPr>
          </w:p>
        </w:tc>
        <w:tc>
          <w:tcPr>
            <w:tcW w:w="2864" w:type="dxa"/>
            <w:shd w:val="clear" w:color="auto" w:fill="auto"/>
            <w:noWrap/>
            <w:vAlign w:val="bottom"/>
          </w:tcPr>
          <w:p w:rsidR="00DC654E" w:rsidRPr="00DC654E" w:rsidRDefault="00DC654E" w:rsidP="004036E9">
            <w:pPr>
              <w:spacing w:after="0" w:line="240" w:lineRule="auto"/>
              <w:contextualSpacing/>
              <w:rPr>
                <w:rFonts w:ascii="Arial" w:eastAsia="Times New Roman" w:hAnsi="Arial" w:cs="Arial"/>
                <w:b/>
                <w:sz w:val="20"/>
                <w:szCs w:val="20"/>
                <w:lang w:eastAsia="en-GB"/>
              </w:rPr>
            </w:pPr>
            <w:r w:rsidRPr="00DC654E">
              <w:rPr>
                <w:rFonts w:ascii="Arial" w:eastAsia="Times New Roman" w:hAnsi="Arial" w:cs="Arial"/>
                <w:b/>
                <w:sz w:val="20"/>
                <w:szCs w:val="20"/>
                <w:lang w:eastAsia="en-GB"/>
              </w:rPr>
              <w:t>Profit before net financing costs</w:t>
            </w:r>
          </w:p>
        </w:tc>
        <w:tc>
          <w:tcPr>
            <w:tcW w:w="1471" w:type="dxa"/>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3,852</w:t>
            </w:r>
          </w:p>
        </w:tc>
        <w:tc>
          <w:tcPr>
            <w:tcW w:w="1450" w:type="dxa"/>
            <w:tcBorders>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(243)</w:t>
            </w:r>
          </w:p>
        </w:tc>
        <w:tc>
          <w:tcPr>
            <w:tcW w:w="1246" w:type="dxa"/>
            <w:tcBorders>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3,609</w:t>
            </w:r>
          </w:p>
        </w:tc>
        <w:tc>
          <w:tcPr>
            <w:tcW w:w="1306" w:type="dxa"/>
            <w:tcBorders>
              <w:lef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3,502</w:t>
            </w:r>
          </w:p>
        </w:tc>
        <w:tc>
          <w:tcPr>
            <w:tcW w:w="1328" w:type="dxa"/>
            <w:tcBorders>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(494)</w:t>
            </w:r>
          </w:p>
        </w:tc>
        <w:tc>
          <w:tcPr>
            <w:tcW w:w="1280" w:type="dxa"/>
            <w:tcBorders>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3,008</w:t>
            </w:r>
          </w:p>
        </w:tc>
      </w:tr>
      <w:tr w:rsidR="00DC654E" w:rsidRPr="002A24CC" w:rsidTr="00DC654E">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tcBorders>
              <w:bottom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p>
        </w:tc>
        <w:tc>
          <w:tcPr>
            <w:tcW w:w="1471" w:type="dxa"/>
            <w:tcBorders>
              <w:bottom w:val="single" w:sz="4" w:space="0" w:color="auto"/>
            </w:tcBorders>
            <w:shd w:val="clear" w:color="auto" w:fill="auto"/>
            <w:noWrap/>
            <w:vAlign w:val="bottom"/>
          </w:tcPr>
          <w:p w:rsidR="00DC654E" w:rsidRPr="00C71D7E" w:rsidRDefault="00DC654E" w:rsidP="00C71D7E">
            <w:pPr>
              <w:spacing w:after="0" w:line="240" w:lineRule="auto"/>
              <w:contextualSpacing/>
              <w:jc w:val="right"/>
              <w:rPr>
                <w:rFonts w:ascii="Arial" w:eastAsia="Times New Roman" w:hAnsi="Arial" w:cs="Arial"/>
                <w:b/>
                <w:bCs/>
                <w:sz w:val="20"/>
                <w:szCs w:val="20"/>
                <w:lang w:eastAsia="en-GB"/>
              </w:rPr>
            </w:pPr>
          </w:p>
        </w:tc>
        <w:tc>
          <w:tcPr>
            <w:tcW w:w="1450" w:type="dxa"/>
            <w:tcBorders>
              <w:bottom w:val="single" w:sz="4" w:space="0" w:color="auto"/>
              <w:right w:val="single" w:sz="4" w:space="0" w:color="auto"/>
            </w:tcBorders>
            <w:shd w:val="clear" w:color="auto" w:fill="auto"/>
            <w:noWrap/>
            <w:vAlign w:val="bottom"/>
          </w:tcPr>
          <w:p w:rsidR="00DC654E" w:rsidRPr="00C71D7E" w:rsidRDefault="00DC654E" w:rsidP="00C71D7E">
            <w:pPr>
              <w:spacing w:after="0" w:line="240" w:lineRule="auto"/>
              <w:contextualSpacing/>
              <w:jc w:val="right"/>
              <w:rPr>
                <w:rFonts w:ascii="Arial" w:eastAsia="Times New Roman" w:hAnsi="Arial" w:cs="Arial"/>
                <w:b/>
                <w:bCs/>
                <w:sz w:val="20"/>
                <w:szCs w:val="20"/>
                <w:lang w:eastAsia="en-GB"/>
              </w:rPr>
            </w:pPr>
          </w:p>
        </w:tc>
        <w:tc>
          <w:tcPr>
            <w:tcW w:w="1246" w:type="dxa"/>
            <w:tcBorders>
              <w:left w:val="single" w:sz="4" w:space="0" w:color="auto"/>
              <w:bottom w:val="single" w:sz="4" w:space="0" w:color="auto"/>
              <w:right w:val="single" w:sz="4" w:space="0" w:color="auto"/>
            </w:tcBorders>
            <w:shd w:val="clear" w:color="auto" w:fill="auto"/>
            <w:noWrap/>
            <w:vAlign w:val="bottom"/>
          </w:tcPr>
          <w:p w:rsidR="00DC654E" w:rsidRPr="00C71D7E" w:rsidRDefault="00DC654E" w:rsidP="00C71D7E">
            <w:pPr>
              <w:spacing w:after="0" w:line="240" w:lineRule="auto"/>
              <w:contextualSpacing/>
              <w:jc w:val="right"/>
              <w:rPr>
                <w:rFonts w:ascii="Arial" w:eastAsia="Times New Roman" w:hAnsi="Arial" w:cs="Arial"/>
                <w:b/>
                <w:bCs/>
                <w:sz w:val="20"/>
                <w:szCs w:val="20"/>
                <w:lang w:eastAsia="en-GB"/>
              </w:rPr>
            </w:pPr>
            <w:r w:rsidRPr="00C71D7E">
              <w:rPr>
                <w:rFonts w:ascii="Arial" w:eastAsia="Times New Roman" w:hAnsi="Arial" w:cs="Arial"/>
                <w:b/>
                <w:bCs/>
                <w:sz w:val="20"/>
                <w:szCs w:val="20"/>
                <w:lang w:eastAsia="en-GB"/>
              </w:rPr>
              <w:t> </w:t>
            </w:r>
          </w:p>
        </w:tc>
        <w:tc>
          <w:tcPr>
            <w:tcW w:w="1306" w:type="dxa"/>
            <w:tcBorders>
              <w:left w:val="single" w:sz="4" w:space="0" w:color="auto"/>
              <w:bottom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328" w:type="dxa"/>
            <w:tcBorders>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280" w:type="dxa"/>
            <w:tcBorders>
              <w:left w:val="single" w:sz="4" w:space="0" w:color="auto"/>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 </w:t>
            </w:r>
          </w:p>
        </w:tc>
      </w:tr>
      <w:tr w:rsidR="00DC654E" w:rsidRPr="002A24CC" w:rsidTr="00DC654E">
        <w:trPr>
          <w:trHeight w:val="57"/>
          <w:jc w:val="center"/>
        </w:trPr>
        <w:tc>
          <w:tcPr>
            <w:tcW w:w="222" w:type="dxa"/>
            <w:tcBorders>
              <w:right w:val="single" w:sz="4" w:space="0" w:color="auto"/>
            </w:tcBorders>
            <w:vAlign w:val="bottom"/>
          </w:tcPr>
          <w:p w:rsidR="00DC654E" w:rsidRPr="002A24CC" w:rsidRDefault="00DC654E" w:rsidP="004D2690">
            <w:pPr>
              <w:spacing w:after="0" w:line="240" w:lineRule="auto"/>
              <w:contextualSpacing/>
              <w:rPr>
                <w:rFonts w:ascii="Arial" w:eastAsia="Times New Roman" w:hAnsi="Arial" w:cs="Arial"/>
                <w:i/>
                <w:iCs/>
                <w:sz w:val="16"/>
                <w:szCs w:val="16"/>
                <w:lang w:eastAsia="en-GB"/>
              </w:rPr>
            </w:pPr>
          </w:p>
        </w:tc>
        <w:tc>
          <w:tcPr>
            <w:tcW w:w="2864" w:type="dxa"/>
            <w:tcBorders>
              <w:top w:val="single" w:sz="4" w:space="0" w:color="auto"/>
              <w:left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i/>
                <w:iCs/>
                <w:sz w:val="20"/>
                <w:szCs w:val="20"/>
                <w:lang w:eastAsia="en-GB"/>
              </w:rPr>
            </w:pPr>
            <w:r w:rsidRPr="002A24CC">
              <w:rPr>
                <w:rFonts w:ascii="Arial" w:eastAsia="Times New Roman" w:hAnsi="Arial" w:cs="Arial"/>
                <w:sz w:val="20"/>
                <w:szCs w:val="20"/>
                <w:lang w:eastAsia="en-GB"/>
              </w:rPr>
              <w:t>Finance income</w:t>
            </w:r>
          </w:p>
        </w:tc>
        <w:tc>
          <w:tcPr>
            <w:tcW w:w="1471" w:type="dxa"/>
            <w:tcBorders>
              <w:top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220</w:t>
            </w:r>
          </w:p>
        </w:tc>
        <w:tc>
          <w:tcPr>
            <w:tcW w:w="1450" w:type="dxa"/>
            <w:tcBorders>
              <w:top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w:t>
            </w:r>
          </w:p>
        </w:tc>
        <w:tc>
          <w:tcPr>
            <w:tcW w:w="1246"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220</w:t>
            </w:r>
          </w:p>
        </w:tc>
        <w:tc>
          <w:tcPr>
            <w:tcW w:w="1306" w:type="dxa"/>
            <w:tcBorders>
              <w:top w:val="single" w:sz="4" w:space="0" w:color="auto"/>
              <w:lef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257</w:t>
            </w:r>
          </w:p>
        </w:tc>
        <w:tc>
          <w:tcPr>
            <w:tcW w:w="1328" w:type="dxa"/>
            <w:tcBorders>
              <w:top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w:t>
            </w:r>
          </w:p>
        </w:tc>
        <w:tc>
          <w:tcPr>
            <w:tcW w:w="1280"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257</w:t>
            </w:r>
          </w:p>
        </w:tc>
      </w:tr>
      <w:tr w:rsidR="00DC654E" w:rsidRPr="002A24CC">
        <w:trPr>
          <w:trHeight w:val="57"/>
          <w:jc w:val="center"/>
        </w:trPr>
        <w:tc>
          <w:tcPr>
            <w:tcW w:w="222" w:type="dxa"/>
            <w:tcBorders>
              <w:right w:val="single" w:sz="4" w:space="0" w:color="auto"/>
            </w:tcBorders>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tcBorders>
              <w:left w:val="single" w:sz="4" w:space="0" w:color="auto"/>
              <w:bottom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r w:rsidRPr="002A24CC">
              <w:rPr>
                <w:rFonts w:ascii="Arial" w:eastAsia="Times New Roman" w:hAnsi="Arial" w:cs="Arial"/>
                <w:sz w:val="20"/>
                <w:szCs w:val="20"/>
                <w:lang w:eastAsia="en-GB"/>
              </w:rPr>
              <w:t>Finance expense</w:t>
            </w:r>
          </w:p>
        </w:tc>
        <w:tc>
          <w:tcPr>
            <w:tcW w:w="1471" w:type="dxa"/>
            <w:tcBorders>
              <w:bottom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(425)</w:t>
            </w:r>
          </w:p>
        </w:tc>
        <w:tc>
          <w:tcPr>
            <w:tcW w:w="1450" w:type="dxa"/>
            <w:tcBorders>
              <w:bottom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 </w:t>
            </w:r>
          </w:p>
        </w:tc>
        <w:tc>
          <w:tcPr>
            <w:tcW w:w="1246" w:type="dxa"/>
            <w:tcBorders>
              <w:left w:val="single" w:sz="4" w:space="0" w:color="auto"/>
              <w:bottom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(425)</w:t>
            </w:r>
          </w:p>
        </w:tc>
        <w:tc>
          <w:tcPr>
            <w:tcW w:w="1306" w:type="dxa"/>
            <w:tcBorders>
              <w:left w:val="single" w:sz="4" w:space="0" w:color="auto"/>
              <w:bottom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(468)</w:t>
            </w:r>
          </w:p>
        </w:tc>
        <w:tc>
          <w:tcPr>
            <w:tcW w:w="1328" w:type="dxa"/>
            <w:tcBorders>
              <w:bottom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rPr>
                <w:rFonts w:ascii="Arial" w:eastAsia="Times New Roman" w:hAnsi="Arial" w:cs="Arial"/>
                <w:bCs/>
                <w:sz w:val="20"/>
                <w:szCs w:val="20"/>
                <w:lang w:eastAsia="en-GB"/>
              </w:rPr>
            </w:pPr>
            <w:r w:rsidRPr="00DC654E">
              <w:rPr>
                <w:rFonts w:ascii="Arial" w:eastAsia="Times New Roman" w:hAnsi="Arial" w:cs="Arial"/>
                <w:bCs/>
                <w:sz w:val="20"/>
                <w:szCs w:val="20"/>
                <w:lang w:eastAsia="en-GB"/>
              </w:rPr>
              <w:t> </w:t>
            </w:r>
          </w:p>
        </w:tc>
        <w:tc>
          <w:tcPr>
            <w:tcW w:w="1280" w:type="dxa"/>
            <w:tcBorders>
              <w:left w:val="single" w:sz="4" w:space="0" w:color="auto"/>
              <w:bottom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(468)</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tcBorders>
              <w:top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r w:rsidRPr="002A24CC">
              <w:rPr>
                <w:rFonts w:ascii="Arial" w:eastAsia="Times New Roman" w:hAnsi="Arial" w:cs="Arial"/>
                <w:sz w:val="20"/>
                <w:szCs w:val="20"/>
                <w:lang w:eastAsia="en-GB"/>
              </w:rPr>
              <w:t>Net financing costs</w:t>
            </w:r>
            <w:r>
              <w:rPr>
                <w:rFonts w:ascii="Arial" w:eastAsia="Times New Roman" w:hAnsi="Arial" w:cs="Arial"/>
                <w:sz w:val="20"/>
                <w:szCs w:val="20"/>
                <w:lang w:eastAsia="en-GB"/>
              </w:rPr>
              <w:t xml:space="preserve"> (Note 3)</w:t>
            </w:r>
          </w:p>
        </w:tc>
        <w:tc>
          <w:tcPr>
            <w:tcW w:w="1471" w:type="dxa"/>
            <w:tcBorders>
              <w:top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(205)</w:t>
            </w:r>
          </w:p>
        </w:tc>
        <w:tc>
          <w:tcPr>
            <w:tcW w:w="1450" w:type="dxa"/>
            <w:tcBorders>
              <w:top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w:t>
            </w:r>
          </w:p>
        </w:tc>
        <w:tc>
          <w:tcPr>
            <w:tcW w:w="1246"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(205)</w:t>
            </w:r>
          </w:p>
        </w:tc>
        <w:tc>
          <w:tcPr>
            <w:tcW w:w="1306" w:type="dxa"/>
            <w:tcBorders>
              <w:top w:val="single" w:sz="4" w:space="0" w:color="auto"/>
              <w:lef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(211)</w:t>
            </w:r>
          </w:p>
        </w:tc>
        <w:tc>
          <w:tcPr>
            <w:tcW w:w="1328" w:type="dxa"/>
            <w:tcBorders>
              <w:top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w:t>
            </w:r>
          </w:p>
        </w:tc>
        <w:tc>
          <w:tcPr>
            <w:tcW w:w="1280"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(211)</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tcBorders>
              <w:bottom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p>
        </w:tc>
        <w:tc>
          <w:tcPr>
            <w:tcW w:w="1471" w:type="dxa"/>
            <w:tcBorders>
              <w:bottom w:val="single" w:sz="4" w:space="0" w:color="auto"/>
            </w:tcBorders>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p>
        </w:tc>
        <w:tc>
          <w:tcPr>
            <w:tcW w:w="1450" w:type="dxa"/>
            <w:tcBorders>
              <w:bottom w:val="single" w:sz="4" w:space="0" w:color="auto"/>
              <w:right w:val="single" w:sz="4" w:space="0" w:color="auto"/>
            </w:tcBorders>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p>
        </w:tc>
        <w:tc>
          <w:tcPr>
            <w:tcW w:w="1246" w:type="dxa"/>
            <w:tcBorders>
              <w:left w:val="single" w:sz="4" w:space="0" w:color="auto"/>
              <w:bottom w:val="single" w:sz="4" w:space="0" w:color="auto"/>
              <w:right w:val="single" w:sz="4" w:space="0" w:color="auto"/>
            </w:tcBorders>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p>
        </w:tc>
        <w:tc>
          <w:tcPr>
            <w:tcW w:w="1306" w:type="dxa"/>
            <w:tcBorders>
              <w:left w:val="single" w:sz="4" w:space="0" w:color="auto"/>
              <w:bottom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328" w:type="dxa"/>
            <w:tcBorders>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280" w:type="dxa"/>
            <w:tcBorders>
              <w:left w:val="single" w:sz="4" w:space="0" w:color="auto"/>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b/>
                <w:bCs/>
                <w:sz w:val="16"/>
                <w:szCs w:val="16"/>
                <w:lang w:eastAsia="en-GB"/>
              </w:rPr>
            </w:pPr>
          </w:p>
        </w:tc>
        <w:tc>
          <w:tcPr>
            <w:tcW w:w="2864" w:type="dxa"/>
            <w:tcBorders>
              <w:top w:val="single" w:sz="4" w:space="0" w:color="auto"/>
            </w:tcBorders>
            <w:shd w:val="clear" w:color="auto" w:fill="auto"/>
            <w:noWrap/>
            <w:vAlign w:val="bottom"/>
          </w:tcPr>
          <w:p w:rsidR="00DC654E" w:rsidRPr="002A24CC" w:rsidRDefault="00DC654E" w:rsidP="00C71D7E">
            <w:pPr>
              <w:spacing w:after="0" w:line="240" w:lineRule="auto"/>
              <w:contextualSpacing/>
              <w:rPr>
                <w:rFonts w:ascii="Arial" w:eastAsia="Times New Roman" w:hAnsi="Arial" w:cs="Arial"/>
                <w:b/>
                <w:bCs/>
                <w:sz w:val="20"/>
                <w:szCs w:val="20"/>
                <w:lang w:eastAsia="en-GB"/>
              </w:rPr>
            </w:pPr>
            <w:r w:rsidRPr="002A24CC">
              <w:rPr>
                <w:rFonts w:ascii="Arial" w:eastAsia="Times New Roman" w:hAnsi="Arial" w:cs="Arial"/>
                <w:b/>
                <w:bCs/>
                <w:sz w:val="20"/>
                <w:szCs w:val="20"/>
                <w:lang w:eastAsia="en-GB"/>
              </w:rPr>
              <w:t>Profit / (loss) before tax from</w:t>
            </w:r>
            <w:r>
              <w:rPr>
                <w:rFonts w:ascii="Arial" w:eastAsia="Times New Roman" w:hAnsi="Arial" w:cs="Arial"/>
                <w:b/>
                <w:bCs/>
                <w:sz w:val="20"/>
                <w:szCs w:val="20"/>
                <w:lang w:eastAsia="en-GB"/>
              </w:rPr>
              <w:t xml:space="preserve"> </w:t>
            </w:r>
            <w:r w:rsidRPr="002A24CC">
              <w:rPr>
                <w:rFonts w:ascii="Arial" w:eastAsia="Times New Roman" w:hAnsi="Arial" w:cs="Arial"/>
                <w:b/>
                <w:bCs/>
                <w:sz w:val="20"/>
                <w:szCs w:val="20"/>
                <w:lang w:eastAsia="en-GB"/>
              </w:rPr>
              <w:t>continuing operations</w:t>
            </w:r>
          </w:p>
        </w:tc>
        <w:tc>
          <w:tcPr>
            <w:tcW w:w="1471" w:type="dxa"/>
            <w:tcBorders>
              <w:top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3,647</w:t>
            </w:r>
          </w:p>
        </w:tc>
        <w:tc>
          <w:tcPr>
            <w:tcW w:w="1450" w:type="dxa"/>
            <w:tcBorders>
              <w:top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(243)</w:t>
            </w:r>
          </w:p>
        </w:tc>
        <w:tc>
          <w:tcPr>
            <w:tcW w:w="1246"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3,404</w:t>
            </w:r>
          </w:p>
        </w:tc>
        <w:tc>
          <w:tcPr>
            <w:tcW w:w="1306" w:type="dxa"/>
            <w:tcBorders>
              <w:top w:val="single" w:sz="4" w:space="0" w:color="auto"/>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3,291</w:t>
            </w:r>
          </w:p>
        </w:tc>
        <w:tc>
          <w:tcPr>
            <w:tcW w:w="1328" w:type="dxa"/>
            <w:tcBorders>
              <w:top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(494)</w:t>
            </w:r>
          </w:p>
        </w:tc>
        <w:tc>
          <w:tcPr>
            <w:tcW w:w="1280"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2,797</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p>
        </w:tc>
        <w:tc>
          <w:tcPr>
            <w:tcW w:w="1471" w:type="dxa"/>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p>
        </w:tc>
        <w:tc>
          <w:tcPr>
            <w:tcW w:w="1450" w:type="dxa"/>
            <w:tcBorders>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p>
        </w:tc>
        <w:tc>
          <w:tcPr>
            <w:tcW w:w="1246" w:type="dxa"/>
            <w:tcBorders>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 </w:t>
            </w:r>
          </w:p>
        </w:tc>
        <w:tc>
          <w:tcPr>
            <w:tcW w:w="1306" w:type="dxa"/>
            <w:tcBorders>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280" w:type="dxa"/>
            <w:tcBorders>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 </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i/>
                <w:iCs/>
                <w:sz w:val="16"/>
                <w:szCs w:val="16"/>
                <w:lang w:eastAsia="en-GB"/>
              </w:rPr>
            </w:pPr>
          </w:p>
        </w:tc>
        <w:tc>
          <w:tcPr>
            <w:tcW w:w="2864" w:type="dxa"/>
            <w:shd w:val="clear" w:color="auto" w:fill="auto"/>
            <w:noWrap/>
            <w:vAlign w:val="bottom"/>
          </w:tcPr>
          <w:p w:rsidR="00DC654E" w:rsidRPr="002A24CC" w:rsidRDefault="00DC654E" w:rsidP="004D2690">
            <w:pPr>
              <w:spacing w:after="0" w:line="240" w:lineRule="auto"/>
              <w:contextualSpacing/>
              <w:rPr>
                <w:rFonts w:ascii="Arial" w:eastAsia="Times New Roman" w:hAnsi="Arial" w:cs="Arial"/>
                <w:i/>
                <w:iCs/>
                <w:sz w:val="20"/>
                <w:szCs w:val="20"/>
                <w:lang w:eastAsia="en-GB"/>
              </w:rPr>
            </w:pPr>
            <w:r w:rsidRPr="002A24CC">
              <w:rPr>
                <w:rFonts w:ascii="Arial" w:eastAsia="Times New Roman" w:hAnsi="Arial" w:cs="Arial"/>
                <w:sz w:val="20"/>
                <w:szCs w:val="20"/>
                <w:lang w:eastAsia="en-GB"/>
              </w:rPr>
              <w:t>Taxation</w:t>
            </w:r>
          </w:p>
        </w:tc>
        <w:tc>
          <w:tcPr>
            <w:tcW w:w="1471" w:type="dxa"/>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(901)</w:t>
            </w:r>
          </w:p>
        </w:tc>
        <w:tc>
          <w:tcPr>
            <w:tcW w:w="1450" w:type="dxa"/>
            <w:tcBorders>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130</w:t>
            </w:r>
          </w:p>
        </w:tc>
        <w:tc>
          <w:tcPr>
            <w:tcW w:w="1246" w:type="dxa"/>
            <w:tcBorders>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(771)</w:t>
            </w:r>
          </w:p>
        </w:tc>
        <w:tc>
          <w:tcPr>
            <w:tcW w:w="1306" w:type="dxa"/>
            <w:tcBorders>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(796)</w:t>
            </w: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(397)</w:t>
            </w:r>
          </w:p>
        </w:tc>
        <w:tc>
          <w:tcPr>
            <w:tcW w:w="1280" w:type="dxa"/>
            <w:tcBorders>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(1,193)</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tcBorders>
              <w:bottom w:val="single" w:sz="4" w:space="0" w:color="auto"/>
            </w:tcBorders>
            <w:shd w:val="clear" w:color="auto" w:fill="auto"/>
            <w:noWrap/>
            <w:vAlign w:val="bottom"/>
          </w:tcPr>
          <w:p w:rsidR="00DC654E" w:rsidRPr="002A24CC" w:rsidRDefault="00DC654E" w:rsidP="004D2690">
            <w:pPr>
              <w:spacing w:after="0" w:line="240" w:lineRule="auto"/>
              <w:contextualSpacing/>
              <w:jc w:val="center"/>
              <w:rPr>
                <w:rFonts w:ascii="Arial" w:eastAsia="Times New Roman" w:hAnsi="Arial" w:cs="Arial"/>
                <w:sz w:val="20"/>
                <w:szCs w:val="20"/>
                <w:lang w:eastAsia="en-GB"/>
              </w:rPr>
            </w:pPr>
          </w:p>
        </w:tc>
        <w:tc>
          <w:tcPr>
            <w:tcW w:w="1471" w:type="dxa"/>
            <w:tcBorders>
              <w:bottom w:val="single" w:sz="4" w:space="0" w:color="auto"/>
            </w:tcBorders>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p>
        </w:tc>
        <w:tc>
          <w:tcPr>
            <w:tcW w:w="1450" w:type="dxa"/>
            <w:tcBorders>
              <w:bottom w:val="single" w:sz="4" w:space="0" w:color="auto"/>
              <w:right w:val="single" w:sz="4" w:space="0" w:color="auto"/>
            </w:tcBorders>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p>
        </w:tc>
        <w:tc>
          <w:tcPr>
            <w:tcW w:w="1246" w:type="dxa"/>
            <w:tcBorders>
              <w:left w:val="single" w:sz="4" w:space="0" w:color="auto"/>
              <w:bottom w:val="single" w:sz="4" w:space="0" w:color="auto"/>
              <w:right w:val="single" w:sz="4" w:space="0" w:color="auto"/>
            </w:tcBorders>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p>
        </w:tc>
        <w:tc>
          <w:tcPr>
            <w:tcW w:w="1306" w:type="dxa"/>
            <w:tcBorders>
              <w:left w:val="single" w:sz="4" w:space="0" w:color="auto"/>
              <w:bottom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328" w:type="dxa"/>
            <w:tcBorders>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280" w:type="dxa"/>
            <w:tcBorders>
              <w:left w:val="single" w:sz="4" w:space="0" w:color="auto"/>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b/>
                <w:bCs/>
                <w:sz w:val="16"/>
                <w:szCs w:val="16"/>
                <w:lang w:eastAsia="en-GB"/>
              </w:rPr>
            </w:pPr>
          </w:p>
        </w:tc>
        <w:tc>
          <w:tcPr>
            <w:tcW w:w="2864" w:type="dxa"/>
            <w:tcBorders>
              <w:top w:val="single" w:sz="4" w:space="0" w:color="auto"/>
              <w:bottom w:val="single" w:sz="4" w:space="0" w:color="auto"/>
            </w:tcBorders>
            <w:shd w:val="clear" w:color="auto" w:fill="auto"/>
            <w:noWrap/>
            <w:vAlign w:val="bottom"/>
          </w:tcPr>
          <w:p w:rsidR="00DC654E" w:rsidRPr="002A24CC" w:rsidRDefault="00DC654E" w:rsidP="004D2690">
            <w:pPr>
              <w:pBdr>
                <w:left w:val="single" w:sz="4" w:space="4" w:color="auto"/>
              </w:pBdr>
              <w:spacing w:after="0" w:line="240" w:lineRule="auto"/>
              <w:contextualSpacing/>
              <w:rPr>
                <w:rFonts w:ascii="Arial" w:eastAsia="Times New Roman" w:hAnsi="Arial" w:cs="Arial"/>
                <w:b/>
                <w:bCs/>
                <w:sz w:val="20"/>
                <w:szCs w:val="20"/>
                <w:lang w:eastAsia="en-GB"/>
              </w:rPr>
            </w:pPr>
            <w:r w:rsidRPr="002A24CC">
              <w:rPr>
                <w:rFonts w:ascii="Arial" w:eastAsia="Times New Roman" w:hAnsi="Arial" w:cs="Arial"/>
                <w:b/>
                <w:bCs/>
                <w:sz w:val="20"/>
                <w:szCs w:val="20"/>
                <w:lang w:eastAsia="en-GB"/>
              </w:rPr>
              <w:t>Profit / (loss) for the year</w:t>
            </w:r>
            <w:r w:rsidRPr="002A24CC">
              <w:rPr>
                <w:rFonts w:ascii="Arial" w:eastAsia="Times New Roman" w:hAnsi="Arial" w:cs="Arial"/>
                <w:sz w:val="20"/>
                <w:szCs w:val="20"/>
                <w:lang w:eastAsia="en-GB"/>
              </w:rPr>
              <w:t> </w:t>
            </w:r>
          </w:p>
          <w:p w:rsidR="00DC654E" w:rsidRPr="002A24CC" w:rsidRDefault="00DC654E" w:rsidP="004D2690">
            <w:pPr>
              <w:pBdr>
                <w:left w:val="single" w:sz="4" w:space="4" w:color="auto"/>
              </w:pBdr>
              <w:spacing w:after="0" w:line="240" w:lineRule="auto"/>
              <w:contextualSpacing/>
              <w:rPr>
                <w:rFonts w:ascii="Arial" w:eastAsia="Times New Roman" w:hAnsi="Arial" w:cs="Arial"/>
                <w:b/>
                <w:bCs/>
                <w:sz w:val="20"/>
                <w:szCs w:val="20"/>
                <w:lang w:eastAsia="en-GB"/>
              </w:rPr>
            </w:pPr>
            <w:r w:rsidRPr="002A24CC">
              <w:rPr>
                <w:rFonts w:ascii="Arial" w:eastAsia="Times New Roman" w:hAnsi="Arial" w:cs="Arial"/>
                <w:b/>
                <w:bCs/>
                <w:sz w:val="20"/>
                <w:szCs w:val="20"/>
                <w:lang w:eastAsia="en-GB"/>
              </w:rPr>
              <w:t>attributable to equity holders of the company</w:t>
            </w:r>
            <w:r w:rsidRPr="002A24CC">
              <w:rPr>
                <w:rFonts w:ascii="Arial" w:eastAsia="Times New Roman" w:hAnsi="Arial" w:cs="Arial"/>
                <w:sz w:val="20"/>
                <w:szCs w:val="20"/>
                <w:lang w:eastAsia="en-GB"/>
              </w:rPr>
              <w:t> </w:t>
            </w:r>
          </w:p>
        </w:tc>
        <w:tc>
          <w:tcPr>
            <w:tcW w:w="1471" w:type="dxa"/>
            <w:tcBorders>
              <w:top w:val="single" w:sz="4" w:space="0" w:color="auto"/>
              <w:bottom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2,746</w:t>
            </w:r>
          </w:p>
        </w:tc>
        <w:tc>
          <w:tcPr>
            <w:tcW w:w="1450" w:type="dxa"/>
            <w:tcBorders>
              <w:top w:val="single" w:sz="4" w:space="0" w:color="auto"/>
              <w:bottom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(113)</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2,633</w:t>
            </w:r>
          </w:p>
        </w:tc>
        <w:tc>
          <w:tcPr>
            <w:tcW w:w="1306" w:type="dxa"/>
            <w:tcBorders>
              <w:top w:val="single" w:sz="4" w:space="0" w:color="auto"/>
              <w:left w:val="single" w:sz="4" w:space="0" w:color="auto"/>
              <w:bottom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2,495</w:t>
            </w:r>
          </w:p>
        </w:tc>
        <w:tc>
          <w:tcPr>
            <w:tcW w:w="1328" w:type="dxa"/>
            <w:tcBorders>
              <w:top w:val="single" w:sz="4" w:space="0" w:color="auto"/>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(891)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1,604</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tcBorders>
              <w:top w:val="single" w:sz="4" w:space="0" w:color="auto"/>
            </w:tcBorders>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p>
        </w:tc>
        <w:tc>
          <w:tcPr>
            <w:tcW w:w="1471" w:type="dxa"/>
            <w:tcBorders>
              <w:top w:val="single" w:sz="4" w:space="0" w:color="auto"/>
            </w:tcBorders>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p>
        </w:tc>
        <w:tc>
          <w:tcPr>
            <w:tcW w:w="1450" w:type="dxa"/>
            <w:tcBorders>
              <w:top w:val="single" w:sz="4" w:space="0" w:color="auto"/>
              <w:right w:val="single" w:sz="4" w:space="0" w:color="auto"/>
            </w:tcBorders>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p>
        </w:tc>
        <w:tc>
          <w:tcPr>
            <w:tcW w:w="1246" w:type="dxa"/>
            <w:tcBorders>
              <w:top w:val="single" w:sz="4" w:space="0" w:color="auto"/>
              <w:left w:val="single" w:sz="4" w:space="0" w:color="auto"/>
              <w:right w:val="single" w:sz="4" w:space="0" w:color="auto"/>
            </w:tcBorders>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r w:rsidRPr="00C71D7E">
              <w:rPr>
                <w:rFonts w:ascii="Arial" w:eastAsia="Times New Roman" w:hAnsi="Arial" w:cs="Arial"/>
                <w:b/>
                <w:bCs/>
                <w:sz w:val="20"/>
                <w:szCs w:val="20"/>
                <w:lang w:eastAsia="en-GB"/>
              </w:rPr>
              <w:t> </w:t>
            </w:r>
          </w:p>
        </w:tc>
        <w:tc>
          <w:tcPr>
            <w:tcW w:w="1306" w:type="dxa"/>
            <w:tcBorders>
              <w:top w:val="single" w:sz="4" w:space="0" w:color="auto"/>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328" w:type="dxa"/>
            <w:tcBorders>
              <w:top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280" w:type="dxa"/>
            <w:tcBorders>
              <w:top w:val="single" w:sz="4" w:space="0" w:color="auto"/>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 </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i/>
                <w:iCs/>
                <w:sz w:val="16"/>
                <w:szCs w:val="16"/>
                <w:lang w:eastAsia="en-GB"/>
              </w:rPr>
            </w:pPr>
          </w:p>
        </w:tc>
        <w:tc>
          <w:tcPr>
            <w:tcW w:w="2864" w:type="dxa"/>
            <w:shd w:val="clear" w:color="auto" w:fill="auto"/>
            <w:noWrap/>
            <w:vAlign w:val="bottom"/>
          </w:tcPr>
          <w:p w:rsidR="00DC654E" w:rsidRPr="002A24CC" w:rsidRDefault="00DC654E" w:rsidP="004D2690">
            <w:pPr>
              <w:spacing w:after="0" w:line="240" w:lineRule="auto"/>
              <w:contextualSpacing/>
              <w:rPr>
                <w:rFonts w:ascii="Arial" w:eastAsia="Times New Roman" w:hAnsi="Arial" w:cs="Arial"/>
                <w:i/>
                <w:iCs/>
                <w:sz w:val="20"/>
                <w:szCs w:val="20"/>
                <w:lang w:eastAsia="en-GB"/>
              </w:rPr>
            </w:pPr>
            <w:r w:rsidRPr="002A24CC">
              <w:rPr>
                <w:rFonts w:ascii="Arial" w:eastAsia="Times New Roman" w:hAnsi="Arial" w:cs="Arial"/>
                <w:sz w:val="20"/>
                <w:szCs w:val="20"/>
                <w:lang w:eastAsia="en-GB"/>
              </w:rPr>
              <w:t>Earnings per share</w:t>
            </w:r>
            <w:r>
              <w:rPr>
                <w:rFonts w:ascii="Arial" w:eastAsia="Times New Roman" w:hAnsi="Arial" w:cs="Arial"/>
                <w:sz w:val="20"/>
                <w:szCs w:val="20"/>
                <w:lang w:eastAsia="en-GB"/>
              </w:rPr>
              <w:t xml:space="preserve"> (Note 4)</w:t>
            </w:r>
          </w:p>
        </w:tc>
        <w:tc>
          <w:tcPr>
            <w:tcW w:w="1471" w:type="dxa"/>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p>
        </w:tc>
        <w:tc>
          <w:tcPr>
            <w:tcW w:w="1450" w:type="dxa"/>
            <w:tcBorders>
              <w:right w:val="single" w:sz="4" w:space="0" w:color="auto"/>
            </w:tcBorders>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p>
        </w:tc>
        <w:tc>
          <w:tcPr>
            <w:tcW w:w="1246" w:type="dxa"/>
            <w:tcBorders>
              <w:left w:val="single" w:sz="4" w:space="0" w:color="auto"/>
              <w:right w:val="single" w:sz="4" w:space="0" w:color="auto"/>
            </w:tcBorders>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r w:rsidRPr="00C71D7E">
              <w:rPr>
                <w:rFonts w:ascii="Arial" w:eastAsia="Times New Roman" w:hAnsi="Arial" w:cs="Arial"/>
                <w:b/>
                <w:bCs/>
                <w:sz w:val="20"/>
                <w:szCs w:val="20"/>
                <w:lang w:eastAsia="en-GB"/>
              </w:rPr>
              <w:t> </w:t>
            </w:r>
          </w:p>
        </w:tc>
        <w:tc>
          <w:tcPr>
            <w:tcW w:w="1306" w:type="dxa"/>
            <w:tcBorders>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280" w:type="dxa"/>
            <w:tcBorders>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 </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16"/>
                <w:szCs w:val="16"/>
                <w:lang w:eastAsia="en-GB"/>
              </w:rPr>
            </w:pPr>
          </w:p>
        </w:tc>
        <w:tc>
          <w:tcPr>
            <w:tcW w:w="2864" w:type="dxa"/>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p>
        </w:tc>
        <w:tc>
          <w:tcPr>
            <w:tcW w:w="1471" w:type="dxa"/>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p>
        </w:tc>
        <w:tc>
          <w:tcPr>
            <w:tcW w:w="1450" w:type="dxa"/>
            <w:tcBorders>
              <w:right w:val="single" w:sz="4" w:space="0" w:color="auto"/>
            </w:tcBorders>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p>
        </w:tc>
        <w:tc>
          <w:tcPr>
            <w:tcW w:w="1246" w:type="dxa"/>
            <w:tcBorders>
              <w:left w:val="single" w:sz="4" w:space="0" w:color="auto"/>
              <w:right w:val="single" w:sz="4" w:space="0" w:color="auto"/>
            </w:tcBorders>
            <w:shd w:val="clear" w:color="auto" w:fill="auto"/>
            <w:noWrap/>
            <w:vAlign w:val="bottom"/>
          </w:tcPr>
          <w:p w:rsidR="00DC654E" w:rsidRPr="00C71D7E" w:rsidRDefault="00DC654E" w:rsidP="004D2690">
            <w:pPr>
              <w:spacing w:after="0" w:line="240" w:lineRule="auto"/>
              <w:contextualSpacing/>
              <w:jc w:val="right"/>
              <w:rPr>
                <w:rFonts w:ascii="Arial" w:eastAsia="Times New Roman" w:hAnsi="Arial" w:cs="Arial"/>
                <w:b/>
                <w:bCs/>
                <w:sz w:val="20"/>
                <w:szCs w:val="20"/>
                <w:lang w:eastAsia="en-GB"/>
              </w:rPr>
            </w:pPr>
            <w:r w:rsidRPr="00C71D7E">
              <w:rPr>
                <w:rFonts w:ascii="Arial" w:eastAsia="Times New Roman" w:hAnsi="Arial" w:cs="Arial"/>
                <w:b/>
                <w:bCs/>
                <w:sz w:val="20"/>
                <w:szCs w:val="20"/>
                <w:lang w:eastAsia="en-GB"/>
              </w:rPr>
              <w:t> </w:t>
            </w:r>
          </w:p>
        </w:tc>
        <w:tc>
          <w:tcPr>
            <w:tcW w:w="1306" w:type="dxa"/>
            <w:tcBorders>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280" w:type="dxa"/>
            <w:tcBorders>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 </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p>
        </w:tc>
        <w:tc>
          <w:tcPr>
            <w:tcW w:w="2864" w:type="dxa"/>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r w:rsidRPr="002A24CC">
              <w:rPr>
                <w:rFonts w:ascii="Arial" w:eastAsia="Times New Roman" w:hAnsi="Arial" w:cs="Arial"/>
                <w:sz w:val="20"/>
                <w:szCs w:val="20"/>
                <w:lang w:eastAsia="en-GB"/>
              </w:rPr>
              <w:t>Basic</w:t>
            </w:r>
          </w:p>
        </w:tc>
        <w:tc>
          <w:tcPr>
            <w:tcW w:w="1471" w:type="dxa"/>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22.2p</w:t>
            </w:r>
          </w:p>
        </w:tc>
        <w:tc>
          <w:tcPr>
            <w:tcW w:w="1450" w:type="dxa"/>
            <w:tcBorders>
              <w:right w:val="single" w:sz="4" w:space="0" w:color="auto"/>
            </w:tcBorders>
            <w:shd w:val="clear" w:color="auto" w:fill="auto"/>
            <w:noWrap/>
            <w:vAlign w:val="bottom"/>
          </w:tcPr>
          <w:p w:rsidR="00DC654E" w:rsidRPr="00DC654E" w:rsidRDefault="00DC654E" w:rsidP="00DC654E">
            <w:pPr>
              <w:spacing w:after="0" w:line="240" w:lineRule="auto"/>
              <w:contextualSpacing/>
              <w:rPr>
                <w:rFonts w:ascii="Arial" w:eastAsia="Times New Roman" w:hAnsi="Arial" w:cs="Arial"/>
                <w:b/>
                <w:bCs/>
                <w:sz w:val="20"/>
                <w:szCs w:val="20"/>
                <w:lang w:eastAsia="en-GB"/>
              </w:rPr>
            </w:pPr>
          </w:p>
        </w:tc>
        <w:tc>
          <w:tcPr>
            <w:tcW w:w="1246" w:type="dxa"/>
            <w:tcBorders>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21.3p</w:t>
            </w:r>
          </w:p>
        </w:tc>
        <w:tc>
          <w:tcPr>
            <w:tcW w:w="1306" w:type="dxa"/>
            <w:tcBorders>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21.6p</w:t>
            </w: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rPr>
                <w:rFonts w:ascii="Arial" w:eastAsia="Times New Roman" w:hAnsi="Arial" w:cs="Arial"/>
                <w:bCs/>
                <w:sz w:val="20"/>
                <w:szCs w:val="20"/>
                <w:lang w:eastAsia="en-GB"/>
              </w:rPr>
            </w:pPr>
          </w:p>
        </w:tc>
        <w:tc>
          <w:tcPr>
            <w:tcW w:w="1280" w:type="dxa"/>
            <w:tcBorders>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13.9p</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p>
        </w:tc>
        <w:tc>
          <w:tcPr>
            <w:tcW w:w="2864" w:type="dxa"/>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p>
        </w:tc>
        <w:tc>
          <w:tcPr>
            <w:tcW w:w="1471" w:type="dxa"/>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p>
        </w:tc>
        <w:tc>
          <w:tcPr>
            <w:tcW w:w="1450" w:type="dxa"/>
            <w:tcBorders>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p>
        </w:tc>
        <w:tc>
          <w:tcPr>
            <w:tcW w:w="1246" w:type="dxa"/>
            <w:tcBorders>
              <w:left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 </w:t>
            </w:r>
          </w:p>
        </w:tc>
        <w:tc>
          <w:tcPr>
            <w:tcW w:w="1306" w:type="dxa"/>
            <w:tcBorders>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p>
        </w:tc>
        <w:tc>
          <w:tcPr>
            <w:tcW w:w="1280" w:type="dxa"/>
            <w:tcBorders>
              <w:left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 </w:t>
            </w:r>
          </w:p>
        </w:tc>
      </w:tr>
      <w:tr w:rsidR="00DC654E" w:rsidRPr="002A24CC">
        <w:trPr>
          <w:trHeight w:val="57"/>
          <w:jc w:val="center"/>
        </w:trPr>
        <w:tc>
          <w:tcPr>
            <w:tcW w:w="222" w:type="dxa"/>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p>
        </w:tc>
        <w:tc>
          <w:tcPr>
            <w:tcW w:w="2864" w:type="dxa"/>
            <w:shd w:val="clear" w:color="auto" w:fill="auto"/>
            <w:noWrap/>
            <w:vAlign w:val="bottom"/>
          </w:tcPr>
          <w:p w:rsidR="00DC654E" w:rsidRPr="002A24CC" w:rsidRDefault="00DC654E" w:rsidP="004D2690">
            <w:pPr>
              <w:spacing w:after="0" w:line="240" w:lineRule="auto"/>
              <w:contextualSpacing/>
              <w:rPr>
                <w:rFonts w:ascii="Arial" w:eastAsia="Times New Roman" w:hAnsi="Arial" w:cs="Arial"/>
                <w:sz w:val="20"/>
                <w:szCs w:val="20"/>
                <w:lang w:eastAsia="en-GB"/>
              </w:rPr>
            </w:pPr>
            <w:r w:rsidRPr="002A24CC">
              <w:rPr>
                <w:rFonts w:ascii="Arial" w:eastAsia="Times New Roman" w:hAnsi="Arial" w:cs="Arial"/>
                <w:sz w:val="20"/>
                <w:szCs w:val="20"/>
                <w:lang w:eastAsia="en-GB"/>
              </w:rPr>
              <w:t>Diluted</w:t>
            </w:r>
          </w:p>
        </w:tc>
        <w:tc>
          <w:tcPr>
            <w:tcW w:w="1471" w:type="dxa"/>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22.0p</w:t>
            </w:r>
          </w:p>
        </w:tc>
        <w:tc>
          <w:tcPr>
            <w:tcW w:w="1450" w:type="dxa"/>
            <w:tcBorders>
              <w:right w:val="single" w:sz="4" w:space="0" w:color="auto"/>
            </w:tcBorders>
            <w:shd w:val="clear" w:color="auto" w:fill="auto"/>
            <w:noWrap/>
            <w:vAlign w:val="bottom"/>
          </w:tcPr>
          <w:p w:rsidR="00DC654E" w:rsidRPr="00DC654E" w:rsidRDefault="00DC654E" w:rsidP="00DC654E">
            <w:pPr>
              <w:spacing w:after="0" w:line="240" w:lineRule="auto"/>
              <w:contextualSpacing/>
              <w:rPr>
                <w:rFonts w:ascii="Arial" w:eastAsia="Times New Roman" w:hAnsi="Arial" w:cs="Arial"/>
                <w:b/>
                <w:bCs/>
                <w:sz w:val="20"/>
                <w:szCs w:val="20"/>
                <w:lang w:eastAsia="en-GB"/>
              </w:rPr>
            </w:pPr>
          </w:p>
        </w:tc>
        <w:tc>
          <w:tcPr>
            <w:tcW w:w="1246" w:type="dxa"/>
            <w:tcBorders>
              <w:left w:val="single" w:sz="4" w:space="0" w:color="auto"/>
              <w:bottom w:val="single" w:sz="4" w:space="0" w:color="auto"/>
              <w:right w:val="single" w:sz="4" w:space="0" w:color="auto"/>
            </w:tcBorders>
            <w:shd w:val="clear" w:color="auto" w:fill="auto"/>
            <w:noWrap/>
            <w:vAlign w:val="bottom"/>
          </w:tcPr>
          <w:p w:rsidR="00DC654E" w:rsidRPr="00DC654E" w:rsidRDefault="00DC654E" w:rsidP="00DC654E">
            <w:pPr>
              <w:spacing w:after="0" w:line="240" w:lineRule="auto"/>
              <w:contextualSpacing/>
              <w:jc w:val="right"/>
              <w:rPr>
                <w:rFonts w:ascii="Arial" w:eastAsia="Times New Roman" w:hAnsi="Arial" w:cs="Arial"/>
                <w:b/>
                <w:bCs/>
                <w:sz w:val="20"/>
                <w:szCs w:val="20"/>
                <w:lang w:eastAsia="en-GB"/>
              </w:rPr>
            </w:pPr>
            <w:r w:rsidRPr="00DC654E">
              <w:rPr>
                <w:rFonts w:ascii="Arial" w:eastAsia="Times New Roman" w:hAnsi="Arial" w:cs="Arial"/>
                <w:b/>
                <w:bCs/>
                <w:sz w:val="20"/>
                <w:szCs w:val="20"/>
                <w:lang w:eastAsia="en-GB"/>
              </w:rPr>
              <w:t>21.1p</w:t>
            </w:r>
          </w:p>
        </w:tc>
        <w:tc>
          <w:tcPr>
            <w:tcW w:w="1306" w:type="dxa"/>
            <w:tcBorders>
              <w:lef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21.3p</w:t>
            </w:r>
          </w:p>
        </w:tc>
        <w:tc>
          <w:tcPr>
            <w:tcW w:w="1328" w:type="dxa"/>
            <w:tcBorders>
              <w:right w:val="single" w:sz="4" w:space="0" w:color="auto"/>
            </w:tcBorders>
            <w:shd w:val="clear" w:color="auto" w:fill="auto"/>
            <w:noWrap/>
            <w:vAlign w:val="bottom"/>
          </w:tcPr>
          <w:p w:rsidR="00DC654E" w:rsidRPr="00DC654E" w:rsidRDefault="00DC654E" w:rsidP="004036E9">
            <w:pPr>
              <w:spacing w:after="0" w:line="240" w:lineRule="auto"/>
              <w:contextualSpacing/>
              <w:rPr>
                <w:rFonts w:ascii="Arial" w:eastAsia="Times New Roman" w:hAnsi="Arial" w:cs="Arial"/>
                <w:bCs/>
                <w:sz w:val="20"/>
                <w:szCs w:val="20"/>
                <w:lang w:eastAsia="en-GB"/>
              </w:rPr>
            </w:pPr>
          </w:p>
        </w:tc>
        <w:tc>
          <w:tcPr>
            <w:tcW w:w="1280" w:type="dxa"/>
            <w:tcBorders>
              <w:left w:val="single" w:sz="4" w:space="0" w:color="auto"/>
              <w:bottom w:val="single" w:sz="4" w:space="0" w:color="auto"/>
              <w:right w:val="single" w:sz="4" w:space="0" w:color="auto"/>
            </w:tcBorders>
            <w:shd w:val="clear" w:color="auto" w:fill="auto"/>
            <w:noWrap/>
            <w:vAlign w:val="bottom"/>
          </w:tcPr>
          <w:p w:rsidR="00DC654E" w:rsidRPr="00DC654E" w:rsidRDefault="00DC654E" w:rsidP="004036E9">
            <w:pPr>
              <w:spacing w:after="0" w:line="240" w:lineRule="auto"/>
              <w:contextualSpacing/>
              <w:jc w:val="right"/>
              <w:rPr>
                <w:rFonts w:ascii="Arial" w:eastAsia="Times New Roman" w:hAnsi="Arial" w:cs="Arial"/>
                <w:bCs/>
                <w:sz w:val="20"/>
                <w:szCs w:val="20"/>
                <w:lang w:eastAsia="en-GB"/>
              </w:rPr>
            </w:pPr>
            <w:r w:rsidRPr="00DC654E">
              <w:rPr>
                <w:rFonts w:ascii="Arial" w:eastAsia="Times New Roman" w:hAnsi="Arial" w:cs="Arial"/>
                <w:bCs/>
                <w:sz w:val="20"/>
                <w:szCs w:val="20"/>
                <w:lang w:eastAsia="en-GB"/>
              </w:rPr>
              <w:t>13.7p</w:t>
            </w:r>
          </w:p>
        </w:tc>
      </w:tr>
    </w:tbl>
    <w:p w:rsidR="00152055" w:rsidRDefault="00152055">
      <w:pPr>
        <w:rPr>
          <w:sz w:val="16"/>
          <w:szCs w:val="16"/>
        </w:rPr>
      </w:pPr>
    </w:p>
    <w:p w:rsidR="00152055" w:rsidRPr="008D1AED" w:rsidRDefault="00152055">
      <w:pPr>
        <w:rPr>
          <w:sz w:val="16"/>
          <w:szCs w:val="16"/>
        </w:rPr>
      </w:pPr>
    </w:p>
    <w:p w:rsidR="00C71D7E" w:rsidRDefault="00C71D7E">
      <w:pPr>
        <w:rPr>
          <w:sz w:val="16"/>
          <w:szCs w:val="16"/>
        </w:rPr>
      </w:pPr>
    </w:p>
    <w:tbl>
      <w:tblPr>
        <w:tblW w:w="10774" w:type="dxa"/>
        <w:tblInd w:w="-176" w:type="dxa"/>
        <w:tblLook w:val="04A0" w:firstRow="1" w:lastRow="0" w:firstColumn="1" w:lastColumn="0" w:noHBand="0" w:noVBand="1"/>
      </w:tblPr>
      <w:tblGrid>
        <w:gridCol w:w="884"/>
        <w:gridCol w:w="7055"/>
        <w:gridCol w:w="1559"/>
        <w:gridCol w:w="1276"/>
      </w:tblGrid>
      <w:tr w:rsidR="00F57565" w:rsidRPr="002A24CC" w:rsidTr="00191DA8">
        <w:trPr>
          <w:trHeight w:val="57"/>
        </w:trPr>
        <w:tc>
          <w:tcPr>
            <w:tcW w:w="10774" w:type="dxa"/>
            <w:gridSpan w:val="4"/>
            <w:tcBorders>
              <w:top w:val="nil"/>
              <w:left w:val="nil"/>
              <w:bottom w:val="nil"/>
              <w:right w:val="nil"/>
            </w:tcBorders>
            <w:shd w:val="clear" w:color="auto" w:fill="auto"/>
            <w:noWrap/>
            <w:vAlign w:val="bottom"/>
          </w:tcPr>
          <w:p w:rsidR="00F57565" w:rsidRPr="00CF1960" w:rsidRDefault="00F57565" w:rsidP="00EF5725">
            <w:pPr>
              <w:spacing w:after="0" w:line="240" w:lineRule="auto"/>
              <w:rPr>
                <w:rFonts w:ascii="Arial" w:eastAsia="Times New Roman" w:hAnsi="Arial" w:cs="Arial"/>
                <w:sz w:val="24"/>
                <w:szCs w:val="24"/>
                <w:lang w:eastAsia="en-GB"/>
              </w:rPr>
            </w:pPr>
            <w:r w:rsidRPr="00CF1960">
              <w:rPr>
                <w:rFonts w:ascii="Arial" w:eastAsia="Times New Roman" w:hAnsi="Arial" w:cs="Arial"/>
                <w:b/>
                <w:bCs/>
                <w:sz w:val="24"/>
                <w:szCs w:val="24"/>
                <w:lang w:eastAsia="en-GB"/>
              </w:rPr>
              <w:t>Consolidated Statement of Comprehensive Income</w:t>
            </w:r>
          </w:p>
        </w:tc>
      </w:tr>
      <w:tr w:rsidR="00F57565" w:rsidRPr="002A24CC" w:rsidTr="00191DA8">
        <w:trPr>
          <w:trHeight w:val="57"/>
        </w:trPr>
        <w:tc>
          <w:tcPr>
            <w:tcW w:w="10774" w:type="dxa"/>
            <w:gridSpan w:val="4"/>
            <w:tcBorders>
              <w:top w:val="nil"/>
              <w:left w:val="nil"/>
              <w:bottom w:val="nil"/>
              <w:right w:val="nil"/>
            </w:tcBorders>
            <w:shd w:val="clear" w:color="auto" w:fill="auto"/>
            <w:noWrap/>
            <w:vAlign w:val="bottom"/>
          </w:tcPr>
          <w:p w:rsidR="00F57565" w:rsidRPr="002A24CC" w:rsidRDefault="00F57565" w:rsidP="00EF5725">
            <w:pPr>
              <w:spacing w:after="0" w:line="240" w:lineRule="auto"/>
              <w:rPr>
                <w:rFonts w:ascii="Arial" w:eastAsia="Times New Roman" w:hAnsi="Arial" w:cs="Arial"/>
                <w:sz w:val="20"/>
                <w:szCs w:val="20"/>
                <w:lang w:eastAsia="en-GB"/>
              </w:rPr>
            </w:pPr>
            <w:r w:rsidRPr="002A24CC">
              <w:rPr>
                <w:rFonts w:ascii="Arial" w:eastAsia="Times New Roman" w:hAnsi="Arial" w:cs="Arial"/>
                <w:b/>
                <w:bCs/>
                <w:sz w:val="20"/>
                <w:szCs w:val="20"/>
                <w:lang w:eastAsia="en-GB"/>
              </w:rPr>
              <w:t xml:space="preserve">FOR THE YEAR ENDED 31 MARCH </w:t>
            </w:r>
            <w:r w:rsidR="00DC654E">
              <w:rPr>
                <w:rFonts w:ascii="Arial" w:eastAsia="Times New Roman" w:hAnsi="Arial" w:cs="Arial"/>
                <w:b/>
                <w:bCs/>
                <w:sz w:val="20"/>
                <w:szCs w:val="20"/>
                <w:lang w:eastAsia="en-GB"/>
              </w:rPr>
              <w:t>2014</w:t>
            </w:r>
          </w:p>
        </w:tc>
      </w:tr>
      <w:tr w:rsidR="00F57565" w:rsidRPr="002A24CC" w:rsidTr="00191DA8">
        <w:trPr>
          <w:trHeight w:val="57"/>
        </w:trPr>
        <w:tc>
          <w:tcPr>
            <w:tcW w:w="884" w:type="dxa"/>
            <w:tcBorders>
              <w:top w:val="nil"/>
              <w:left w:val="nil"/>
              <w:bottom w:val="nil"/>
              <w:right w:val="nil"/>
            </w:tcBorders>
            <w:shd w:val="clear" w:color="auto" w:fill="auto"/>
            <w:noWrap/>
            <w:vAlign w:val="bottom"/>
          </w:tcPr>
          <w:p w:rsidR="00F57565" w:rsidRPr="002A24CC" w:rsidRDefault="00F57565" w:rsidP="00EF5725">
            <w:pPr>
              <w:spacing w:after="0" w:line="240" w:lineRule="auto"/>
              <w:rPr>
                <w:rFonts w:ascii="Arial" w:eastAsia="Times New Roman" w:hAnsi="Arial" w:cs="Arial"/>
                <w:sz w:val="20"/>
                <w:szCs w:val="20"/>
                <w:lang w:eastAsia="en-GB"/>
              </w:rPr>
            </w:pPr>
          </w:p>
        </w:tc>
        <w:tc>
          <w:tcPr>
            <w:tcW w:w="7055" w:type="dxa"/>
            <w:tcBorders>
              <w:top w:val="nil"/>
              <w:left w:val="nil"/>
              <w:bottom w:val="nil"/>
              <w:right w:val="nil"/>
            </w:tcBorders>
            <w:shd w:val="clear" w:color="auto" w:fill="auto"/>
            <w:noWrap/>
            <w:vAlign w:val="bottom"/>
          </w:tcPr>
          <w:p w:rsidR="00F57565" w:rsidRPr="002A24CC" w:rsidRDefault="00F57565" w:rsidP="00EF5725">
            <w:pPr>
              <w:spacing w:after="0" w:line="240" w:lineRule="auto"/>
              <w:rPr>
                <w:rFonts w:ascii="Arial" w:eastAsia="Times New Roman" w:hAnsi="Arial" w:cs="Arial"/>
                <w:sz w:val="20"/>
                <w:szCs w:val="20"/>
                <w:lang w:eastAsia="en-GB"/>
              </w:rPr>
            </w:pPr>
          </w:p>
        </w:tc>
        <w:tc>
          <w:tcPr>
            <w:tcW w:w="1559" w:type="dxa"/>
            <w:tcBorders>
              <w:top w:val="nil"/>
              <w:left w:val="nil"/>
              <w:bottom w:val="nil"/>
              <w:right w:val="nil"/>
            </w:tcBorders>
            <w:shd w:val="clear" w:color="auto" w:fill="auto"/>
            <w:noWrap/>
            <w:vAlign w:val="bottom"/>
          </w:tcPr>
          <w:p w:rsidR="00F57565" w:rsidRPr="007049AF" w:rsidRDefault="00DC654E" w:rsidP="00EF5725">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2014</w:t>
            </w:r>
          </w:p>
        </w:tc>
        <w:tc>
          <w:tcPr>
            <w:tcW w:w="1276" w:type="dxa"/>
            <w:tcBorders>
              <w:top w:val="nil"/>
              <w:left w:val="nil"/>
              <w:bottom w:val="nil"/>
              <w:right w:val="nil"/>
            </w:tcBorders>
            <w:shd w:val="clear" w:color="auto" w:fill="auto"/>
            <w:noWrap/>
            <w:vAlign w:val="bottom"/>
          </w:tcPr>
          <w:p w:rsidR="00F57565" w:rsidRPr="002A24CC" w:rsidRDefault="00DC654E" w:rsidP="00EF572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2013</w:t>
            </w:r>
          </w:p>
        </w:tc>
      </w:tr>
      <w:tr w:rsidR="00453B28" w:rsidRPr="002A24CC" w:rsidTr="00191DA8">
        <w:trPr>
          <w:trHeight w:val="57"/>
        </w:trPr>
        <w:tc>
          <w:tcPr>
            <w:tcW w:w="884" w:type="dxa"/>
            <w:tcBorders>
              <w:top w:val="nil"/>
              <w:left w:val="nil"/>
              <w:bottom w:val="nil"/>
              <w:right w:val="nil"/>
            </w:tcBorders>
            <w:shd w:val="clear" w:color="auto" w:fill="auto"/>
            <w:noWrap/>
            <w:vAlign w:val="bottom"/>
          </w:tcPr>
          <w:p w:rsidR="00453B28" w:rsidRPr="002A24CC" w:rsidRDefault="00453B28" w:rsidP="00DD3B38">
            <w:pPr>
              <w:spacing w:after="0" w:line="240" w:lineRule="auto"/>
              <w:rPr>
                <w:rFonts w:ascii="Arial" w:eastAsia="Times New Roman" w:hAnsi="Arial" w:cs="Arial"/>
                <w:sz w:val="20"/>
                <w:szCs w:val="20"/>
                <w:lang w:eastAsia="en-GB"/>
              </w:rPr>
            </w:pPr>
          </w:p>
        </w:tc>
        <w:tc>
          <w:tcPr>
            <w:tcW w:w="7055" w:type="dxa"/>
            <w:tcBorders>
              <w:top w:val="nil"/>
              <w:left w:val="nil"/>
              <w:bottom w:val="single" w:sz="4" w:space="0" w:color="auto"/>
              <w:right w:val="nil"/>
            </w:tcBorders>
            <w:shd w:val="clear" w:color="auto" w:fill="auto"/>
            <w:noWrap/>
            <w:vAlign w:val="bottom"/>
          </w:tcPr>
          <w:p w:rsidR="00453B28" w:rsidRPr="002A24CC" w:rsidRDefault="00453B28" w:rsidP="00DD3B38">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 </w:t>
            </w:r>
          </w:p>
        </w:tc>
        <w:tc>
          <w:tcPr>
            <w:tcW w:w="1559" w:type="dxa"/>
            <w:tcBorders>
              <w:top w:val="nil"/>
              <w:left w:val="nil"/>
              <w:bottom w:val="single" w:sz="4" w:space="0" w:color="auto"/>
              <w:right w:val="nil"/>
            </w:tcBorders>
            <w:shd w:val="clear" w:color="auto" w:fill="auto"/>
            <w:noWrap/>
            <w:vAlign w:val="bottom"/>
          </w:tcPr>
          <w:p w:rsidR="00453B28" w:rsidRPr="007049AF" w:rsidRDefault="00453B28" w:rsidP="00DD3B38">
            <w:pPr>
              <w:spacing w:after="0" w:line="240" w:lineRule="auto"/>
              <w:jc w:val="right"/>
              <w:rPr>
                <w:rFonts w:ascii="Arial" w:eastAsia="Times New Roman" w:hAnsi="Arial" w:cs="Arial"/>
                <w:b/>
                <w:sz w:val="20"/>
                <w:szCs w:val="20"/>
                <w:lang w:eastAsia="en-GB"/>
              </w:rPr>
            </w:pPr>
            <w:r w:rsidRPr="007049AF">
              <w:rPr>
                <w:rFonts w:ascii="Arial" w:eastAsia="Times New Roman" w:hAnsi="Arial" w:cs="Arial"/>
                <w:b/>
                <w:sz w:val="20"/>
                <w:szCs w:val="20"/>
                <w:lang w:eastAsia="en-GB"/>
              </w:rPr>
              <w:t>£'000</w:t>
            </w:r>
          </w:p>
        </w:tc>
        <w:tc>
          <w:tcPr>
            <w:tcW w:w="1276" w:type="dxa"/>
            <w:tcBorders>
              <w:top w:val="nil"/>
              <w:left w:val="nil"/>
              <w:bottom w:val="single" w:sz="4" w:space="0" w:color="auto"/>
              <w:right w:val="nil"/>
            </w:tcBorders>
            <w:shd w:val="clear" w:color="auto" w:fill="auto"/>
            <w:noWrap/>
            <w:vAlign w:val="bottom"/>
          </w:tcPr>
          <w:p w:rsidR="00453B28" w:rsidRPr="002A24CC" w:rsidRDefault="00453B28" w:rsidP="00DD3B38">
            <w:pPr>
              <w:spacing w:after="0" w:line="240" w:lineRule="auto"/>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£'000</w:t>
            </w:r>
          </w:p>
        </w:tc>
      </w:tr>
      <w:tr w:rsidR="00453B28" w:rsidRPr="002A24CC" w:rsidTr="00191DA8">
        <w:trPr>
          <w:trHeight w:val="57"/>
        </w:trPr>
        <w:tc>
          <w:tcPr>
            <w:tcW w:w="884" w:type="dxa"/>
            <w:tcBorders>
              <w:top w:val="nil"/>
              <w:left w:val="nil"/>
              <w:bottom w:val="nil"/>
              <w:right w:val="nil"/>
            </w:tcBorders>
            <w:shd w:val="clear" w:color="auto" w:fill="auto"/>
            <w:noWrap/>
            <w:vAlign w:val="bottom"/>
          </w:tcPr>
          <w:p w:rsidR="00453B28" w:rsidRPr="002A24CC" w:rsidRDefault="00453B28" w:rsidP="00DD3B38">
            <w:pPr>
              <w:spacing w:after="0" w:line="240" w:lineRule="auto"/>
              <w:rPr>
                <w:rFonts w:ascii="Arial" w:eastAsia="Times New Roman" w:hAnsi="Arial" w:cs="Arial"/>
                <w:sz w:val="20"/>
                <w:szCs w:val="20"/>
                <w:lang w:eastAsia="en-GB"/>
              </w:rPr>
            </w:pPr>
          </w:p>
        </w:tc>
        <w:tc>
          <w:tcPr>
            <w:tcW w:w="7055" w:type="dxa"/>
            <w:tcBorders>
              <w:top w:val="nil"/>
              <w:left w:val="nil"/>
              <w:bottom w:val="nil"/>
              <w:right w:val="nil"/>
            </w:tcBorders>
            <w:shd w:val="clear" w:color="auto" w:fill="auto"/>
            <w:noWrap/>
            <w:vAlign w:val="bottom"/>
          </w:tcPr>
          <w:p w:rsidR="00453B28" w:rsidRPr="002A24CC" w:rsidRDefault="00453B28" w:rsidP="00DD3B38">
            <w:pPr>
              <w:spacing w:after="0" w:line="240" w:lineRule="auto"/>
              <w:rPr>
                <w:rFonts w:ascii="Arial" w:eastAsia="Times New Roman" w:hAnsi="Arial" w:cs="Arial"/>
                <w:sz w:val="20"/>
                <w:szCs w:val="20"/>
                <w:lang w:eastAsia="en-GB"/>
              </w:rPr>
            </w:pPr>
          </w:p>
        </w:tc>
        <w:tc>
          <w:tcPr>
            <w:tcW w:w="1559" w:type="dxa"/>
            <w:tcBorders>
              <w:top w:val="nil"/>
              <w:left w:val="nil"/>
              <w:bottom w:val="nil"/>
              <w:right w:val="nil"/>
            </w:tcBorders>
            <w:shd w:val="clear" w:color="auto" w:fill="auto"/>
            <w:noWrap/>
            <w:vAlign w:val="bottom"/>
          </w:tcPr>
          <w:p w:rsidR="00453B28" w:rsidRPr="007049AF" w:rsidRDefault="00453B28" w:rsidP="00DD3B38">
            <w:pPr>
              <w:spacing w:after="0" w:line="240" w:lineRule="auto"/>
              <w:jc w:val="right"/>
              <w:rPr>
                <w:rFonts w:ascii="Arial" w:eastAsia="Times New Roman" w:hAnsi="Arial" w:cs="Arial"/>
                <w:b/>
                <w:sz w:val="20"/>
                <w:szCs w:val="20"/>
                <w:lang w:eastAsia="en-GB"/>
              </w:rPr>
            </w:pPr>
          </w:p>
        </w:tc>
        <w:tc>
          <w:tcPr>
            <w:tcW w:w="1276" w:type="dxa"/>
            <w:tcBorders>
              <w:top w:val="nil"/>
              <w:left w:val="nil"/>
              <w:bottom w:val="nil"/>
              <w:right w:val="nil"/>
            </w:tcBorders>
            <w:shd w:val="clear" w:color="auto" w:fill="auto"/>
            <w:noWrap/>
            <w:vAlign w:val="bottom"/>
          </w:tcPr>
          <w:p w:rsidR="00453B28" w:rsidRDefault="00453B28" w:rsidP="00DD3B38">
            <w:pPr>
              <w:spacing w:after="0" w:line="240" w:lineRule="auto"/>
              <w:jc w:val="right"/>
              <w:rPr>
                <w:rFonts w:ascii="Arial" w:eastAsia="Times New Roman" w:hAnsi="Arial" w:cs="Arial"/>
                <w:sz w:val="20"/>
                <w:szCs w:val="20"/>
                <w:lang w:eastAsia="en-GB"/>
              </w:rPr>
            </w:pPr>
          </w:p>
        </w:tc>
      </w:tr>
      <w:tr w:rsidR="00DC654E" w:rsidRPr="002A24CC" w:rsidTr="00DC654E">
        <w:trPr>
          <w:trHeight w:val="290"/>
        </w:trPr>
        <w:tc>
          <w:tcPr>
            <w:tcW w:w="884" w:type="dxa"/>
            <w:tcBorders>
              <w:top w:val="nil"/>
              <w:left w:val="nil"/>
              <w:bottom w:val="nil"/>
              <w:right w:val="nil"/>
            </w:tcBorders>
            <w:shd w:val="clear" w:color="auto" w:fill="auto"/>
            <w:noWrap/>
            <w:vAlign w:val="bottom"/>
          </w:tcPr>
          <w:p w:rsidR="00DC654E" w:rsidRPr="002A24CC" w:rsidRDefault="00DC654E" w:rsidP="004036E9">
            <w:pPr>
              <w:spacing w:after="0" w:line="240" w:lineRule="auto"/>
              <w:rPr>
                <w:rFonts w:ascii="Arial" w:eastAsia="Times New Roman" w:hAnsi="Arial" w:cs="Arial"/>
                <w:sz w:val="20"/>
                <w:szCs w:val="20"/>
                <w:lang w:eastAsia="en-GB"/>
              </w:rPr>
            </w:pPr>
          </w:p>
        </w:tc>
        <w:tc>
          <w:tcPr>
            <w:tcW w:w="7055" w:type="dxa"/>
            <w:tcBorders>
              <w:top w:val="nil"/>
              <w:left w:val="nil"/>
              <w:right w:val="nil"/>
            </w:tcBorders>
            <w:shd w:val="clear" w:color="auto" w:fill="auto"/>
            <w:noWrap/>
            <w:vAlign w:val="bottom"/>
          </w:tcPr>
          <w:p w:rsidR="00DC654E" w:rsidRDefault="00DC654E" w:rsidP="004036E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Unrealised loss on the revaluation of shares in Falkland Oil and Gas</w:t>
            </w:r>
          </w:p>
        </w:tc>
        <w:tc>
          <w:tcPr>
            <w:tcW w:w="1559" w:type="dxa"/>
            <w:tcBorders>
              <w:top w:val="nil"/>
              <w:left w:val="nil"/>
              <w:right w:val="nil"/>
            </w:tcBorders>
            <w:shd w:val="clear" w:color="auto" w:fill="auto"/>
            <w:noWrap/>
            <w:vAlign w:val="bottom"/>
          </w:tcPr>
          <w:p w:rsidR="00DC654E" w:rsidRPr="007049AF" w:rsidRDefault="00DC654E" w:rsidP="00DC654E">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(129</w:t>
            </w:r>
            <w:r w:rsidRPr="007049AF">
              <w:rPr>
                <w:rFonts w:ascii="Arial" w:eastAsia="Times New Roman" w:hAnsi="Arial" w:cs="Arial"/>
                <w:b/>
                <w:sz w:val="20"/>
                <w:szCs w:val="20"/>
                <w:lang w:eastAsia="en-GB"/>
              </w:rPr>
              <w:t>)</w:t>
            </w:r>
          </w:p>
        </w:tc>
        <w:tc>
          <w:tcPr>
            <w:tcW w:w="1276" w:type="dxa"/>
            <w:tcBorders>
              <w:top w:val="nil"/>
              <w:left w:val="nil"/>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(4,873</w:t>
            </w:r>
            <w:r w:rsidRPr="007049AF">
              <w:rPr>
                <w:rFonts w:ascii="Arial" w:eastAsia="Times New Roman" w:hAnsi="Arial" w:cs="Arial"/>
                <w:b/>
                <w:sz w:val="20"/>
                <w:szCs w:val="20"/>
                <w:lang w:eastAsia="en-GB"/>
              </w:rPr>
              <w:t>)</w:t>
            </w:r>
          </w:p>
        </w:tc>
      </w:tr>
      <w:tr w:rsidR="00DC654E" w:rsidRPr="002A24CC" w:rsidTr="00DC654E">
        <w:trPr>
          <w:trHeight w:val="290"/>
        </w:trPr>
        <w:tc>
          <w:tcPr>
            <w:tcW w:w="884" w:type="dxa"/>
            <w:tcBorders>
              <w:top w:val="nil"/>
              <w:left w:val="nil"/>
              <w:bottom w:val="nil"/>
              <w:right w:val="nil"/>
            </w:tcBorders>
            <w:shd w:val="clear" w:color="auto" w:fill="auto"/>
            <w:noWrap/>
            <w:vAlign w:val="bottom"/>
          </w:tcPr>
          <w:p w:rsidR="00DC654E" w:rsidRPr="002A24CC" w:rsidRDefault="00DC654E" w:rsidP="004036E9">
            <w:pPr>
              <w:spacing w:after="0" w:line="240" w:lineRule="auto"/>
              <w:rPr>
                <w:rFonts w:ascii="Arial" w:eastAsia="Times New Roman" w:hAnsi="Arial" w:cs="Arial"/>
                <w:sz w:val="20"/>
                <w:szCs w:val="20"/>
                <w:lang w:eastAsia="en-GB"/>
              </w:rPr>
            </w:pPr>
          </w:p>
        </w:tc>
        <w:tc>
          <w:tcPr>
            <w:tcW w:w="7055" w:type="dxa"/>
            <w:tcBorders>
              <w:top w:val="nil"/>
              <w:left w:val="nil"/>
              <w:bottom w:val="single" w:sz="4" w:space="0" w:color="auto"/>
              <w:right w:val="nil"/>
            </w:tcBorders>
            <w:shd w:val="clear" w:color="auto" w:fill="auto"/>
            <w:noWrap/>
            <w:vAlign w:val="bottom"/>
          </w:tcPr>
          <w:p w:rsidR="00DC654E" w:rsidRPr="002A24CC" w:rsidRDefault="00DC654E" w:rsidP="004036E9">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 xml:space="preserve">Transfer to the income statement on sale of </w:t>
            </w:r>
            <w:r>
              <w:rPr>
                <w:rFonts w:ascii="Arial" w:eastAsia="Times New Roman" w:hAnsi="Arial" w:cs="Arial"/>
                <w:sz w:val="20"/>
                <w:szCs w:val="20"/>
                <w:lang w:eastAsia="en-GB"/>
              </w:rPr>
              <w:t>shares in FOGL</w:t>
            </w:r>
          </w:p>
        </w:tc>
        <w:tc>
          <w:tcPr>
            <w:tcW w:w="1559" w:type="dxa"/>
            <w:tcBorders>
              <w:top w:val="nil"/>
              <w:left w:val="nil"/>
              <w:bottom w:val="single" w:sz="4" w:space="0" w:color="auto"/>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w:t>
            </w:r>
          </w:p>
        </w:tc>
        <w:tc>
          <w:tcPr>
            <w:tcW w:w="1276" w:type="dxa"/>
            <w:tcBorders>
              <w:top w:val="nil"/>
              <w:left w:val="nil"/>
              <w:bottom w:val="single" w:sz="4" w:space="0" w:color="auto"/>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(521)</w:t>
            </w:r>
          </w:p>
        </w:tc>
      </w:tr>
      <w:tr w:rsidR="00DC654E" w:rsidRPr="002A24CC" w:rsidTr="004036E9">
        <w:trPr>
          <w:trHeight w:val="290"/>
        </w:trPr>
        <w:tc>
          <w:tcPr>
            <w:tcW w:w="884" w:type="dxa"/>
            <w:tcBorders>
              <w:top w:val="nil"/>
              <w:left w:val="nil"/>
              <w:bottom w:val="nil"/>
              <w:right w:val="nil"/>
            </w:tcBorders>
            <w:shd w:val="clear" w:color="auto" w:fill="auto"/>
            <w:noWrap/>
            <w:vAlign w:val="bottom"/>
          </w:tcPr>
          <w:p w:rsidR="00DC654E" w:rsidRPr="002A24CC" w:rsidRDefault="00DC654E" w:rsidP="004036E9">
            <w:pPr>
              <w:spacing w:after="0" w:line="240" w:lineRule="auto"/>
              <w:rPr>
                <w:rFonts w:ascii="Arial" w:eastAsia="Times New Roman" w:hAnsi="Arial" w:cs="Arial"/>
                <w:sz w:val="20"/>
                <w:szCs w:val="20"/>
                <w:lang w:eastAsia="en-GB"/>
              </w:rPr>
            </w:pPr>
          </w:p>
        </w:tc>
        <w:tc>
          <w:tcPr>
            <w:tcW w:w="7055" w:type="dxa"/>
            <w:tcBorders>
              <w:top w:val="single" w:sz="4" w:space="0" w:color="auto"/>
              <w:left w:val="nil"/>
              <w:bottom w:val="nil"/>
              <w:right w:val="nil"/>
            </w:tcBorders>
            <w:shd w:val="clear" w:color="auto" w:fill="auto"/>
            <w:noWrap/>
            <w:vAlign w:val="bottom"/>
          </w:tcPr>
          <w:p w:rsidR="00DC654E" w:rsidRPr="002A24CC" w:rsidRDefault="00DC654E" w:rsidP="004036E9">
            <w:pPr>
              <w:spacing w:after="0" w:line="240" w:lineRule="auto"/>
              <w:rPr>
                <w:rFonts w:ascii="Arial" w:eastAsia="Times New Roman" w:hAnsi="Arial" w:cs="Arial"/>
                <w:sz w:val="20"/>
                <w:szCs w:val="20"/>
                <w:lang w:eastAsia="en-GB"/>
              </w:rPr>
            </w:pPr>
            <w:r w:rsidRPr="00DC654E">
              <w:rPr>
                <w:rFonts w:ascii="Arial" w:eastAsia="Times New Roman" w:hAnsi="Arial" w:cs="Arial"/>
                <w:sz w:val="20"/>
                <w:szCs w:val="20"/>
                <w:lang w:eastAsia="en-GB"/>
              </w:rPr>
              <w:t>Items which will ultimately be recycled to the income statement</w:t>
            </w:r>
          </w:p>
        </w:tc>
        <w:tc>
          <w:tcPr>
            <w:tcW w:w="1559" w:type="dxa"/>
            <w:tcBorders>
              <w:top w:val="single" w:sz="4" w:space="0" w:color="auto"/>
              <w:left w:val="nil"/>
              <w:bottom w:val="nil"/>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(129)</w:t>
            </w:r>
          </w:p>
        </w:tc>
        <w:tc>
          <w:tcPr>
            <w:tcW w:w="1276" w:type="dxa"/>
            <w:tcBorders>
              <w:top w:val="single" w:sz="4" w:space="0" w:color="auto"/>
              <w:left w:val="nil"/>
              <w:bottom w:val="nil"/>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(5,394)</w:t>
            </w:r>
          </w:p>
        </w:tc>
      </w:tr>
      <w:tr w:rsidR="00DC654E" w:rsidRPr="002A24CC" w:rsidTr="004036E9">
        <w:trPr>
          <w:trHeight w:val="290"/>
        </w:trPr>
        <w:tc>
          <w:tcPr>
            <w:tcW w:w="884" w:type="dxa"/>
            <w:tcBorders>
              <w:top w:val="nil"/>
              <w:left w:val="nil"/>
              <w:bottom w:val="nil"/>
              <w:right w:val="nil"/>
            </w:tcBorders>
            <w:shd w:val="clear" w:color="auto" w:fill="auto"/>
            <w:noWrap/>
            <w:vAlign w:val="bottom"/>
          </w:tcPr>
          <w:p w:rsidR="00DC654E" w:rsidRPr="002A24CC" w:rsidRDefault="00DC654E" w:rsidP="004036E9">
            <w:pPr>
              <w:spacing w:after="0" w:line="240" w:lineRule="auto"/>
              <w:rPr>
                <w:rFonts w:ascii="Arial" w:eastAsia="Times New Roman" w:hAnsi="Arial" w:cs="Arial"/>
                <w:sz w:val="20"/>
                <w:szCs w:val="20"/>
                <w:lang w:eastAsia="en-GB"/>
              </w:rPr>
            </w:pPr>
          </w:p>
        </w:tc>
        <w:tc>
          <w:tcPr>
            <w:tcW w:w="7055" w:type="dxa"/>
            <w:tcBorders>
              <w:top w:val="nil"/>
              <w:left w:val="nil"/>
              <w:bottom w:val="nil"/>
              <w:right w:val="nil"/>
            </w:tcBorders>
            <w:shd w:val="clear" w:color="auto" w:fill="auto"/>
            <w:noWrap/>
            <w:vAlign w:val="bottom"/>
          </w:tcPr>
          <w:p w:rsidR="00DC654E" w:rsidRPr="002A24CC" w:rsidRDefault="00DC654E" w:rsidP="004036E9">
            <w:pPr>
              <w:spacing w:after="0" w:line="240" w:lineRule="auto"/>
              <w:rPr>
                <w:rFonts w:ascii="Arial" w:eastAsia="Times New Roman" w:hAnsi="Arial" w:cs="Arial"/>
                <w:sz w:val="20"/>
                <w:szCs w:val="20"/>
                <w:lang w:eastAsia="en-GB"/>
              </w:rPr>
            </w:pPr>
          </w:p>
        </w:tc>
        <w:tc>
          <w:tcPr>
            <w:tcW w:w="1559" w:type="dxa"/>
            <w:tcBorders>
              <w:top w:val="nil"/>
              <w:left w:val="nil"/>
              <w:bottom w:val="nil"/>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p>
        </w:tc>
        <w:tc>
          <w:tcPr>
            <w:tcW w:w="1276" w:type="dxa"/>
            <w:tcBorders>
              <w:top w:val="nil"/>
              <w:left w:val="nil"/>
              <w:bottom w:val="nil"/>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p>
        </w:tc>
      </w:tr>
      <w:tr w:rsidR="00DC654E" w:rsidRPr="002A24CC" w:rsidTr="00191DA8">
        <w:trPr>
          <w:trHeight w:val="290"/>
        </w:trPr>
        <w:tc>
          <w:tcPr>
            <w:tcW w:w="884" w:type="dxa"/>
            <w:tcBorders>
              <w:top w:val="nil"/>
              <w:left w:val="nil"/>
              <w:bottom w:val="nil"/>
              <w:right w:val="nil"/>
            </w:tcBorders>
            <w:shd w:val="clear" w:color="auto" w:fill="auto"/>
            <w:noWrap/>
            <w:vAlign w:val="bottom"/>
          </w:tcPr>
          <w:p w:rsidR="00DC654E" w:rsidRPr="002A24CC" w:rsidRDefault="00DC654E" w:rsidP="00EF5725">
            <w:pPr>
              <w:spacing w:after="0" w:line="240" w:lineRule="auto"/>
              <w:rPr>
                <w:rFonts w:ascii="Arial" w:eastAsia="Times New Roman" w:hAnsi="Arial" w:cs="Arial"/>
                <w:sz w:val="20"/>
                <w:szCs w:val="20"/>
                <w:lang w:eastAsia="en-GB"/>
              </w:rPr>
            </w:pPr>
          </w:p>
        </w:tc>
        <w:tc>
          <w:tcPr>
            <w:tcW w:w="7055" w:type="dxa"/>
            <w:tcBorders>
              <w:top w:val="nil"/>
              <w:left w:val="nil"/>
              <w:bottom w:val="nil"/>
              <w:right w:val="nil"/>
            </w:tcBorders>
            <w:shd w:val="clear" w:color="auto" w:fill="auto"/>
            <w:noWrap/>
            <w:vAlign w:val="bottom"/>
          </w:tcPr>
          <w:p w:rsidR="00DC654E" w:rsidRPr="002A24CC" w:rsidRDefault="00DC654E" w:rsidP="00EF5725">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PHFC actuarial loss on pension scheme</w:t>
            </w:r>
          </w:p>
        </w:tc>
        <w:tc>
          <w:tcPr>
            <w:tcW w:w="1559" w:type="dxa"/>
            <w:tcBorders>
              <w:top w:val="nil"/>
              <w:left w:val="nil"/>
              <w:bottom w:val="nil"/>
              <w:right w:val="nil"/>
            </w:tcBorders>
            <w:shd w:val="clear" w:color="auto" w:fill="auto"/>
            <w:noWrap/>
            <w:vAlign w:val="bottom"/>
          </w:tcPr>
          <w:p w:rsidR="00DC654E" w:rsidRPr="007049AF" w:rsidRDefault="00DC654E" w:rsidP="00EF5725">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w:t>
            </w:r>
          </w:p>
        </w:tc>
        <w:tc>
          <w:tcPr>
            <w:tcW w:w="1276" w:type="dxa"/>
            <w:tcBorders>
              <w:top w:val="nil"/>
              <w:left w:val="nil"/>
              <w:bottom w:val="nil"/>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(77</w:t>
            </w:r>
            <w:r w:rsidRPr="007049AF">
              <w:rPr>
                <w:rFonts w:ascii="Arial" w:eastAsia="Times New Roman" w:hAnsi="Arial" w:cs="Arial"/>
                <w:b/>
                <w:sz w:val="20"/>
                <w:szCs w:val="20"/>
                <w:lang w:eastAsia="en-GB"/>
              </w:rPr>
              <w:t>)</w:t>
            </w:r>
          </w:p>
        </w:tc>
      </w:tr>
      <w:tr w:rsidR="00DC654E" w:rsidRPr="002A24CC" w:rsidTr="00191DA8">
        <w:trPr>
          <w:trHeight w:val="290"/>
        </w:trPr>
        <w:tc>
          <w:tcPr>
            <w:tcW w:w="884" w:type="dxa"/>
            <w:tcBorders>
              <w:top w:val="nil"/>
              <w:left w:val="nil"/>
              <w:bottom w:val="nil"/>
              <w:right w:val="nil"/>
            </w:tcBorders>
            <w:shd w:val="clear" w:color="auto" w:fill="auto"/>
            <w:noWrap/>
            <w:vAlign w:val="bottom"/>
          </w:tcPr>
          <w:p w:rsidR="00DC654E" w:rsidRPr="002A24CC" w:rsidRDefault="00DC654E" w:rsidP="00EF5725">
            <w:pPr>
              <w:spacing w:after="0" w:line="240" w:lineRule="auto"/>
              <w:rPr>
                <w:rFonts w:ascii="Arial" w:eastAsia="Times New Roman" w:hAnsi="Arial" w:cs="Arial"/>
                <w:sz w:val="20"/>
                <w:szCs w:val="20"/>
                <w:lang w:eastAsia="en-GB"/>
              </w:rPr>
            </w:pPr>
          </w:p>
        </w:tc>
        <w:tc>
          <w:tcPr>
            <w:tcW w:w="7055" w:type="dxa"/>
            <w:tcBorders>
              <w:top w:val="nil"/>
              <w:left w:val="nil"/>
              <w:right w:val="nil"/>
            </w:tcBorders>
            <w:shd w:val="clear" w:color="auto" w:fill="auto"/>
            <w:noWrap/>
            <w:vAlign w:val="bottom"/>
          </w:tcPr>
          <w:p w:rsidR="00DC654E" w:rsidRPr="002A24CC" w:rsidRDefault="00DC654E" w:rsidP="00DC654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FIC actuarial gain / (loss) </w:t>
            </w:r>
            <w:r w:rsidRPr="002A24CC">
              <w:rPr>
                <w:rFonts w:ascii="Arial" w:eastAsia="Times New Roman" w:hAnsi="Arial" w:cs="Arial"/>
                <w:sz w:val="20"/>
                <w:szCs w:val="20"/>
                <w:lang w:eastAsia="en-GB"/>
              </w:rPr>
              <w:t>on pension scheme</w:t>
            </w:r>
          </w:p>
        </w:tc>
        <w:tc>
          <w:tcPr>
            <w:tcW w:w="1559" w:type="dxa"/>
            <w:tcBorders>
              <w:top w:val="nil"/>
              <w:left w:val="nil"/>
              <w:right w:val="nil"/>
            </w:tcBorders>
            <w:shd w:val="clear" w:color="auto" w:fill="auto"/>
            <w:noWrap/>
            <w:vAlign w:val="bottom"/>
          </w:tcPr>
          <w:p w:rsidR="00DC654E" w:rsidRPr="007049AF" w:rsidRDefault="00DC654E" w:rsidP="00EF5725">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135</w:t>
            </w:r>
          </w:p>
        </w:tc>
        <w:tc>
          <w:tcPr>
            <w:tcW w:w="1276" w:type="dxa"/>
            <w:tcBorders>
              <w:top w:val="nil"/>
              <w:left w:val="nil"/>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(173</w:t>
            </w:r>
            <w:r w:rsidRPr="007049AF">
              <w:rPr>
                <w:rFonts w:ascii="Arial" w:eastAsia="Times New Roman" w:hAnsi="Arial" w:cs="Arial"/>
                <w:b/>
                <w:sz w:val="20"/>
                <w:szCs w:val="20"/>
                <w:lang w:eastAsia="en-GB"/>
              </w:rPr>
              <w:t>)</w:t>
            </w:r>
          </w:p>
        </w:tc>
      </w:tr>
      <w:tr w:rsidR="00DC654E" w:rsidRPr="002A24CC" w:rsidTr="00DC654E">
        <w:trPr>
          <w:trHeight w:val="290"/>
        </w:trPr>
        <w:tc>
          <w:tcPr>
            <w:tcW w:w="884" w:type="dxa"/>
            <w:tcBorders>
              <w:top w:val="nil"/>
              <w:left w:val="nil"/>
              <w:bottom w:val="nil"/>
              <w:right w:val="nil"/>
            </w:tcBorders>
            <w:shd w:val="clear" w:color="auto" w:fill="auto"/>
            <w:noWrap/>
            <w:vAlign w:val="bottom"/>
          </w:tcPr>
          <w:p w:rsidR="00DC654E" w:rsidRPr="002A24CC" w:rsidRDefault="00DC654E" w:rsidP="00EF5725">
            <w:pPr>
              <w:spacing w:after="0" w:line="240" w:lineRule="auto"/>
              <w:rPr>
                <w:rFonts w:ascii="Arial" w:eastAsia="Times New Roman" w:hAnsi="Arial" w:cs="Arial"/>
                <w:sz w:val="20"/>
                <w:szCs w:val="20"/>
                <w:lang w:eastAsia="en-GB"/>
              </w:rPr>
            </w:pPr>
          </w:p>
        </w:tc>
        <w:tc>
          <w:tcPr>
            <w:tcW w:w="7055" w:type="dxa"/>
            <w:tcBorders>
              <w:top w:val="nil"/>
              <w:left w:val="nil"/>
              <w:right w:val="nil"/>
            </w:tcBorders>
            <w:shd w:val="clear" w:color="auto" w:fill="auto"/>
            <w:noWrap/>
            <w:vAlign w:val="bottom"/>
          </w:tcPr>
          <w:p w:rsidR="00DC654E" w:rsidRPr="002A24CC" w:rsidRDefault="00DC654E" w:rsidP="00EF5725">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Movement on deferred tax asset relating to pension schemes</w:t>
            </w:r>
          </w:p>
        </w:tc>
        <w:tc>
          <w:tcPr>
            <w:tcW w:w="1559" w:type="dxa"/>
            <w:tcBorders>
              <w:top w:val="nil"/>
              <w:left w:val="nil"/>
              <w:right w:val="nil"/>
            </w:tcBorders>
            <w:shd w:val="clear" w:color="auto" w:fill="auto"/>
            <w:noWrap/>
            <w:vAlign w:val="bottom"/>
          </w:tcPr>
          <w:p w:rsidR="00DC654E" w:rsidRPr="007049AF" w:rsidRDefault="00DC654E" w:rsidP="00EF5725">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(35)</w:t>
            </w:r>
          </w:p>
        </w:tc>
        <w:tc>
          <w:tcPr>
            <w:tcW w:w="1276" w:type="dxa"/>
            <w:tcBorders>
              <w:top w:val="nil"/>
              <w:left w:val="nil"/>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61</w:t>
            </w:r>
          </w:p>
        </w:tc>
      </w:tr>
      <w:tr w:rsidR="00DC654E" w:rsidRPr="002A24CC" w:rsidTr="00DC654E">
        <w:trPr>
          <w:trHeight w:val="290"/>
        </w:trPr>
        <w:tc>
          <w:tcPr>
            <w:tcW w:w="884" w:type="dxa"/>
            <w:tcBorders>
              <w:top w:val="nil"/>
              <w:left w:val="nil"/>
              <w:right w:val="nil"/>
            </w:tcBorders>
            <w:shd w:val="clear" w:color="auto" w:fill="auto"/>
            <w:noWrap/>
            <w:vAlign w:val="bottom"/>
          </w:tcPr>
          <w:p w:rsidR="00DC654E" w:rsidRPr="002A24CC" w:rsidRDefault="00DC654E" w:rsidP="00EF5725">
            <w:pPr>
              <w:spacing w:after="0" w:line="240" w:lineRule="auto"/>
              <w:rPr>
                <w:rFonts w:ascii="Arial" w:eastAsia="Times New Roman" w:hAnsi="Arial" w:cs="Arial"/>
                <w:sz w:val="20"/>
                <w:szCs w:val="20"/>
                <w:lang w:eastAsia="en-GB"/>
              </w:rPr>
            </w:pPr>
          </w:p>
        </w:tc>
        <w:tc>
          <w:tcPr>
            <w:tcW w:w="7055" w:type="dxa"/>
            <w:tcBorders>
              <w:left w:val="nil"/>
              <w:bottom w:val="single" w:sz="4" w:space="0" w:color="auto"/>
              <w:right w:val="nil"/>
            </w:tcBorders>
            <w:shd w:val="clear" w:color="auto" w:fill="auto"/>
            <w:noWrap/>
            <w:vAlign w:val="bottom"/>
          </w:tcPr>
          <w:p w:rsidR="00DC654E" w:rsidRPr="002A24CC" w:rsidRDefault="00DC654E" w:rsidP="00EF572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Effect of tax rate changes on deferred tax asset relating to pension schemes</w:t>
            </w:r>
          </w:p>
        </w:tc>
        <w:tc>
          <w:tcPr>
            <w:tcW w:w="1559" w:type="dxa"/>
            <w:tcBorders>
              <w:left w:val="nil"/>
              <w:bottom w:val="single" w:sz="4" w:space="0" w:color="auto"/>
              <w:right w:val="nil"/>
            </w:tcBorders>
            <w:shd w:val="clear" w:color="auto" w:fill="auto"/>
            <w:noWrap/>
            <w:vAlign w:val="bottom"/>
          </w:tcPr>
          <w:p w:rsidR="00DC654E" w:rsidRPr="007049AF" w:rsidRDefault="00DC654E" w:rsidP="00EF5725">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w:t>
            </w:r>
          </w:p>
        </w:tc>
        <w:tc>
          <w:tcPr>
            <w:tcW w:w="1276" w:type="dxa"/>
            <w:tcBorders>
              <w:left w:val="nil"/>
              <w:bottom w:val="single" w:sz="4" w:space="0" w:color="auto"/>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47</w:t>
            </w:r>
          </w:p>
        </w:tc>
      </w:tr>
      <w:tr w:rsidR="00DC654E" w:rsidRPr="002A24CC" w:rsidTr="00DC654E">
        <w:trPr>
          <w:trHeight w:val="290"/>
        </w:trPr>
        <w:tc>
          <w:tcPr>
            <w:tcW w:w="884" w:type="dxa"/>
            <w:tcBorders>
              <w:left w:val="nil"/>
              <w:bottom w:val="nil"/>
              <w:right w:val="nil"/>
            </w:tcBorders>
            <w:shd w:val="clear" w:color="auto" w:fill="auto"/>
            <w:noWrap/>
            <w:vAlign w:val="bottom"/>
          </w:tcPr>
          <w:p w:rsidR="00DC654E" w:rsidRPr="002A24CC" w:rsidRDefault="00DC654E" w:rsidP="004036E9">
            <w:pPr>
              <w:spacing w:after="0" w:line="240" w:lineRule="auto"/>
              <w:rPr>
                <w:rFonts w:ascii="Arial" w:eastAsia="Times New Roman" w:hAnsi="Arial" w:cs="Arial"/>
                <w:sz w:val="20"/>
                <w:szCs w:val="20"/>
                <w:lang w:eastAsia="en-GB"/>
              </w:rPr>
            </w:pPr>
          </w:p>
        </w:tc>
        <w:tc>
          <w:tcPr>
            <w:tcW w:w="7055" w:type="dxa"/>
            <w:tcBorders>
              <w:top w:val="single" w:sz="4" w:space="0" w:color="auto"/>
              <w:left w:val="nil"/>
              <w:bottom w:val="nil"/>
              <w:right w:val="nil"/>
            </w:tcBorders>
            <w:shd w:val="clear" w:color="auto" w:fill="auto"/>
            <w:noWrap/>
            <w:vAlign w:val="bottom"/>
          </w:tcPr>
          <w:p w:rsidR="00DC654E" w:rsidRPr="002A24CC" w:rsidRDefault="00DC654E" w:rsidP="004036E9">
            <w:pPr>
              <w:spacing w:after="0" w:line="240" w:lineRule="auto"/>
              <w:rPr>
                <w:rFonts w:ascii="Arial" w:eastAsia="Times New Roman" w:hAnsi="Arial" w:cs="Arial"/>
                <w:sz w:val="20"/>
                <w:szCs w:val="20"/>
                <w:lang w:eastAsia="en-GB"/>
              </w:rPr>
            </w:pPr>
            <w:r w:rsidRPr="00DC654E">
              <w:rPr>
                <w:rFonts w:ascii="Arial" w:eastAsia="Times New Roman" w:hAnsi="Arial" w:cs="Arial"/>
                <w:sz w:val="20"/>
                <w:szCs w:val="20"/>
                <w:lang w:eastAsia="en-GB"/>
              </w:rPr>
              <w:t xml:space="preserve">Items which will ultimately </w:t>
            </w:r>
            <w:r>
              <w:rPr>
                <w:rFonts w:ascii="Arial" w:eastAsia="Times New Roman" w:hAnsi="Arial" w:cs="Arial"/>
                <w:sz w:val="20"/>
                <w:szCs w:val="20"/>
                <w:lang w:eastAsia="en-GB"/>
              </w:rPr>
              <w:t xml:space="preserve">not </w:t>
            </w:r>
            <w:r w:rsidRPr="00DC654E">
              <w:rPr>
                <w:rFonts w:ascii="Arial" w:eastAsia="Times New Roman" w:hAnsi="Arial" w:cs="Arial"/>
                <w:sz w:val="20"/>
                <w:szCs w:val="20"/>
                <w:lang w:eastAsia="en-GB"/>
              </w:rPr>
              <w:t>be recycled to the income statement</w:t>
            </w:r>
          </w:p>
        </w:tc>
        <w:tc>
          <w:tcPr>
            <w:tcW w:w="1559" w:type="dxa"/>
            <w:tcBorders>
              <w:top w:val="single" w:sz="4" w:space="0" w:color="auto"/>
              <w:left w:val="nil"/>
              <w:bottom w:val="nil"/>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100</w:t>
            </w:r>
          </w:p>
        </w:tc>
        <w:tc>
          <w:tcPr>
            <w:tcW w:w="1276" w:type="dxa"/>
            <w:tcBorders>
              <w:top w:val="single" w:sz="4" w:space="0" w:color="auto"/>
              <w:left w:val="nil"/>
              <w:bottom w:val="nil"/>
              <w:right w:val="nil"/>
            </w:tcBorders>
            <w:shd w:val="clear" w:color="auto" w:fill="auto"/>
            <w:noWrap/>
            <w:vAlign w:val="bottom"/>
          </w:tcPr>
          <w:p w:rsidR="00DC654E" w:rsidRPr="007049AF" w:rsidRDefault="00DC654E" w:rsidP="00DC654E">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(142)</w:t>
            </w:r>
          </w:p>
        </w:tc>
      </w:tr>
      <w:tr w:rsidR="00DC654E" w:rsidRPr="002A24CC" w:rsidTr="004036E9">
        <w:trPr>
          <w:trHeight w:val="290"/>
        </w:trPr>
        <w:tc>
          <w:tcPr>
            <w:tcW w:w="884" w:type="dxa"/>
            <w:tcBorders>
              <w:left w:val="nil"/>
              <w:bottom w:val="nil"/>
              <w:right w:val="nil"/>
            </w:tcBorders>
            <w:shd w:val="clear" w:color="auto" w:fill="auto"/>
            <w:noWrap/>
            <w:vAlign w:val="bottom"/>
          </w:tcPr>
          <w:p w:rsidR="00DC654E" w:rsidRPr="002A24CC" w:rsidRDefault="00DC654E" w:rsidP="004036E9">
            <w:pPr>
              <w:spacing w:after="0" w:line="240" w:lineRule="auto"/>
              <w:rPr>
                <w:rFonts w:ascii="Arial" w:eastAsia="Times New Roman" w:hAnsi="Arial" w:cs="Arial"/>
                <w:sz w:val="20"/>
                <w:szCs w:val="20"/>
                <w:lang w:eastAsia="en-GB"/>
              </w:rPr>
            </w:pPr>
          </w:p>
        </w:tc>
        <w:tc>
          <w:tcPr>
            <w:tcW w:w="7055" w:type="dxa"/>
            <w:tcBorders>
              <w:left w:val="nil"/>
              <w:bottom w:val="nil"/>
              <w:right w:val="nil"/>
            </w:tcBorders>
            <w:shd w:val="clear" w:color="auto" w:fill="auto"/>
            <w:noWrap/>
            <w:vAlign w:val="bottom"/>
          </w:tcPr>
          <w:p w:rsidR="00DC654E" w:rsidRPr="002A24CC" w:rsidRDefault="00DC654E" w:rsidP="004036E9">
            <w:pPr>
              <w:spacing w:after="0" w:line="240" w:lineRule="auto"/>
              <w:rPr>
                <w:rFonts w:ascii="Arial" w:eastAsia="Times New Roman" w:hAnsi="Arial" w:cs="Arial"/>
                <w:sz w:val="20"/>
                <w:szCs w:val="20"/>
                <w:lang w:eastAsia="en-GB"/>
              </w:rPr>
            </w:pPr>
          </w:p>
        </w:tc>
        <w:tc>
          <w:tcPr>
            <w:tcW w:w="1559" w:type="dxa"/>
            <w:tcBorders>
              <w:left w:val="nil"/>
              <w:bottom w:val="nil"/>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p>
        </w:tc>
        <w:tc>
          <w:tcPr>
            <w:tcW w:w="1276" w:type="dxa"/>
            <w:tcBorders>
              <w:left w:val="nil"/>
              <w:bottom w:val="nil"/>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p>
        </w:tc>
      </w:tr>
      <w:tr w:rsidR="00DC654E" w:rsidRPr="002A24CC" w:rsidTr="00DC654E">
        <w:trPr>
          <w:trHeight w:val="290"/>
        </w:trPr>
        <w:tc>
          <w:tcPr>
            <w:tcW w:w="884" w:type="dxa"/>
            <w:tcBorders>
              <w:left w:val="nil"/>
              <w:bottom w:val="nil"/>
              <w:right w:val="nil"/>
            </w:tcBorders>
            <w:shd w:val="clear" w:color="auto" w:fill="auto"/>
            <w:noWrap/>
            <w:vAlign w:val="bottom"/>
          </w:tcPr>
          <w:p w:rsidR="00DC654E" w:rsidRPr="002A24CC" w:rsidRDefault="00DC654E" w:rsidP="00EF5725">
            <w:pPr>
              <w:spacing w:after="0" w:line="240" w:lineRule="auto"/>
              <w:rPr>
                <w:rFonts w:ascii="Arial" w:eastAsia="Times New Roman" w:hAnsi="Arial" w:cs="Arial"/>
                <w:sz w:val="20"/>
                <w:szCs w:val="20"/>
                <w:lang w:eastAsia="en-GB"/>
              </w:rPr>
            </w:pPr>
          </w:p>
        </w:tc>
        <w:tc>
          <w:tcPr>
            <w:tcW w:w="7055" w:type="dxa"/>
            <w:tcBorders>
              <w:left w:val="nil"/>
              <w:bottom w:val="nil"/>
              <w:right w:val="nil"/>
            </w:tcBorders>
            <w:shd w:val="clear" w:color="auto" w:fill="auto"/>
            <w:noWrap/>
            <w:vAlign w:val="bottom"/>
          </w:tcPr>
          <w:p w:rsidR="00DC654E" w:rsidRPr="002A24CC" w:rsidRDefault="00DC654E" w:rsidP="007D2236">
            <w:pPr>
              <w:spacing w:after="0" w:line="240" w:lineRule="auto"/>
              <w:rPr>
                <w:rFonts w:ascii="Arial" w:eastAsia="Times New Roman" w:hAnsi="Arial" w:cs="Arial"/>
                <w:sz w:val="20"/>
                <w:szCs w:val="20"/>
                <w:lang w:eastAsia="en-GB"/>
              </w:rPr>
            </w:pPr>
            <w:r w:rsidRPr="002A24CC">
              <w:rPr>
                <w:rFonts w:ascii="Arial" w:eastAsia="Times New Roman" w:hAnsi="Arial" w:cs="Arial"/>
                <w:b/>
                <w:bCs/>
                <w:sz w:val="20"/>
                <w:szCs w:val="20"/>
                <w:lang w:eastAsia="en-GB"/>
              </w:rPr>
              <w:t xml:space="preserve">Other comprehensive </w:t>
            </w:r>
            <w:r>
              <w:rPr>
                <w:rFonts w:ascii="Arial" w:eastAsia="Times New Roman" w:hAnsi="Arial" w:cs="Arial"/>
                <w:b/>
                <w:bCs/>
                <w:sz w:val="20"/>
                <w:szCs w:val="20"/>
                <w:lang w:eastAsia="en-GB"/>
              </w:rPr>
              <w:t>expense</w:t>
            </w:r>
          </w:p>
        </w:tc>
        <w:tc>
          <w:tcPr>
            <w:tcW w:w="1559" w:type="dxa"/>
            <w:tcBorders>
              <w:left w:val="nil"/>
              <w:bottom w:val="nil"/>
              <w:right w:val="nil"/>
            </w:tcBorders>
            <w:shd w:val="clear" w:color="auto" w:fill="auto"/>
            <w:noWrap/>
            <w:vAlign w:val="bottom"/>
          </w:tcPr>
          <w:p w:rsidR="00DC654E" w:rsidRPr="007049AF" w:rsidRDefault="00DC654E" w:rsidP="0072723F">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(29)</w:t>
            </w:r>
          </w:p>
        </w:tc>
        <w:tc>
          <w:tcPr>
            <w:tcW w:w="1276" w:type="dxa"/>
            <w:tcBorders>
              <w:left w:val="nil"/>
              <w:bottom w:val="nil"/>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(5,536</w:t>
            </w:r>
            <w:r w:rsidRPr="007049AF">
              <w:rPr>
                <w:rFonts w:ascii="Arial" w:eastAsia="Times New Roman" w:hAnsi="Arial" w:cs="Arial"/>
                <w:b/>
                <w:sz w:val="20"/>
                <w:szCs w:val="20"/>
                <w:lang w:eastAsia="en-GB"/>
              </w:rPr>
              <w:t>)</w:t>
            </w:r>
          </w:p>
        </w:tc>
      </w:tr>
      <w:tr w:rsidR="00DC654E" w:rsidRPr="002A24CC" w:rsidTr="004036E9">
        <w:trPr>
          <w:trHeight w:val="290"/>
        </w:trPr>
        <w:tc>
          <w:tcPr>
            <w:tcW w:w="884" w:type="dxa"/>
            <w:tcBorders>
              <w:top w:val="nil"/>
              <w:left w:val="nil"/>
              <w:bottom w:val="nil"/>
              <w:right w:val="nil"/>
            </w:tcBorders>
            <w:shd w:val="clear" w:color="auto" w:fill="auto"/>
            <w:noWrap/>
            <w:vAlign w:val="bottom"/>
          </w:tcPr>
          <w:p w:rsidR="00DC654E" w:rsidRPr="002A24CC" w:rsidRDefault="00DC654E" w:rsidP="004036E9">
            <w:pPr>
              <w:spacing w:after="0" w:line="240" w:lineRule="auto"/>
              <w:rPr>
                <w:rFonts w:ascii="Arial" w:eastAsia="Times New Roman" w:hAnsi="Arial" w:cs="Arial"/>
                <w:sz w:val="20"/>
                <w:szCs w:val="20"/>
                <w:lang w:eastAsia="en-GB"/>
              </w:rPr>
            </w:pPr>
          </w:p>
        </w:tc>
        <w:tc>
          <w:tcPr>
            <w:tcW w:w="7055" w:type="dxa"/>
            <w:tcBorders>
              <w:top w:val="nil"/>
              <w:left w:val="nil"/>
              <w:bottom w:val="single" w:sz="4" w:space="0" w:color="auto"/>
              <w:right w:val="nil"/>
            </w:tcBorders>
            <w:shd w:val="clear" w:color="auto" w:fill="auto"/>
            <w:noWrap/>
            <w:vAlign w:val="bottom"/>
          </w:tcPr>
          <w:p w:rsidR="00DC654E" w:rsidRPr="002A24CC" w:rsidRDefault="00DC654E" w:rsidP="004036E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Profit for the year</w:t>
            </w:r>
            <w:r w:rsidRPr="002A24CC">
              <w:rPr>
                <w:rFonts w:ascii="Arial" w:eastAsia="Times New Roman" w:hAnsi="Arial" w:cs="Arial"/>
                <w:sz w:val="20"/>
                <w:szCs w:val="20"/>
                <w:lang w:eastAsia="en-GB"/>
              </w:rPr>
              <w:t> </w:t>
            </w:r>
          </w:p>
        </w:tc>
        <w:tc>
          <w:tcPr>
            <w:tcW w:w="1559" w:type="dxa"/>
            <w:tcBorders>
              <w:top w:val="nil"/>
              <w:left w:val="nil"/>
              <w:bottom w:val="single" w:sz="4" w:space="0" w:color="auto"/>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2,633</w:t>
            </w:r>
          </w:p>
        </w:tc>
        <w:tc>
          <w:tcPr>
            <w:tcW w:w="1276" w:type="dxa"/>
            <w:tcBorders>
              <w:top w:val="nil"/>
              <w:left w:val="nil"/>
              <w:bottom w:val="single" w:sz="4" w:space="0" w:color="auto"/>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1,604</w:t>
            </w:r>
          </w:p>
        </w:tc>
      </w:tr>
      <w:tr w:rsidR="00DC654E" w:rsidRPr="002A24CC" w:rsidTr="00191DA8">
        <w:trPr>
          <w:trHeight w:val="290"/>
        </w:trPr>
        <w:tc>
          <w:tcPr>
            <w:tcW w:w="884" w:type="dxa"/>
            <w:tcBorders>
              <w:top w:val="nil"/>
              <w:left w:val="nil"/>
              <w:bottom w:val="nil"/>
              <w:right w:val="nil"/>
            </w:tcBorders>
            <w:shd w:val="clear" w:color="auto" w:fill="auto"/>
            <w:noWrap/>
            <w:vAlign w:val="bottom"/>
          </w:tcPr>
          <w:p w:rsidR="00DC654E" w:rsidRPr="002A24CC" w:rsidRDefault="00DC654E" w:rsidP="00EF5725">
            <w:pPr>
              <w:spacing w:after="0" w:line="240" w:lineRule="auto"/>
              <w:rPr>
                <w:rFonts w:ascii="Arial" w:eastAsia="Times New Roman" w:hAnsi="Arial" w:cs="Arial"/>
                <w:sz w:val="20"/>
                <w:szCs w:val="20"/>
                <w:lang w:eastAsia="en-GB"/>
              </w:rPr>
            </w:pPr>
          </w:p>
        </w:tc>
        <w:tc>
          <w:tcPr>
            <w:tcW w:w="7055" w:type="dxa"/>
            <w:tcBorders>
              <w:top w:val="single" w:sz="4" w:space="0" w:color="auto"/>
              <w:left w:val="nil"/>
              <w:bottom w:val="single" w:sz="4" w:space="0" w:color="auto"/>
              <w:right w:val="nil"/>
            </w:tcBorders>
            <w:shd w:val="clear" w:color="auto" w:fill="auto"/>
            <w:noWrap/>
            <w:vAlign w:val="bottom"/>
          </w:tcPr>
          <w:p w:rsidR="00DC654E" w:rsidRPr="002A24CC" w:rsidRDefault="00DC654E" w:rsidP="00453B28">
            <w:pPr>
              <w:spacing w:after="0" w:line="240" w:lineRule="auto"/>
              <w:rPr>
                <w:rFonts w:ascii="Arial" w:eastAsia="Times New Roman" w:hAnsi="Arial" w:cs="Arial"/>
                <w:b/>
                <w:bCs/>
                <w:sz w:val="20"/>
                <w:szCs w:val="20"/>
                <w:lang w:eastAsia="en-GB"/>
              </w:rPr>
            </w:pPr>
            <w:r w:rsidRPr="002A24CC">
              <w:rPr>
                <w:rFonts w:ascii="Arial" w:eastAsia="Times New Roman" w:hAnsi="Arial" w:cs="Arial"/>
                <w:b/>
                <w:bCs/>
                <w:sz w:val="20"/>
                <w:szCs w:val="20"/>
                <w:lang w:eastAsia="en-GB"/>
              </w:rPr>
              <w:t xml:space="preserve">Total comprehensive </w:t>
            </w:r>
            <w:r>
              <w:rPr>
                <w:rFonts w:ascii="Arial" w:eastAsia="Times New Roman" w:hAnsi="Arial" w:cs="Arial"/>
                <w:b/>
                <w:bCs/>
                <w:sz w:val="20"/>
                <w:szCs w:val="20"/>
                <w:lang w:eastAsia="en-GB"/>
              </w:rPr>
              <w:t>income / (expense)</w:t>
            </w:r>
          </w:p>
        </w:tc>
        <w:tc>
          <w:tcPr>
            <w:tcW w:w="1559" w:type="dxa"/>
            <w:tcBorders>
              <w:top w:val="single" w:sz="4" w:space="0" w:color="auto"/>
              <w:left w:val="nil"/>
              <w:bottom w:val="single" w:sz="4" w:space="0" w:color="auto"/>
              <w:right w:val="nil"/>
            </w:tcBorders>
            <w:shd w:val="clear" w:color="auto" w:fill="auto"/>
            <w:noWrap/>
            <w:vAlign w:val="bottom"/>
          </w:tcPr>
          <w:p w:rsidR="00DC654E" w:rsidRPr="007049AF" w:rsidRDefault="00DC654E" w:rsidP="0072723F">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2,604</w:t>
            </w:r>
          </w:p>
        </w:tc>
        <w:tc>
          <w:tcPr>
            <w:tcW w:w="1276" w:type="dxa"/>
            <w:tcBorders>
              <w:top w:val="single" w:sz="4" w:space="0" w:color="auto"/>
              <w:left w:val="nil"/>
              <w:bottom w:val="single" w:sz="4" w:space="0" w:color="auto"/>
              <w:right w:val="nil"/>
            </w:tcBorders>
            <w:shd w:val="clear" w:color="auto" w:fill="auto"/>
            <w:noWrap/>
            <w:vAlign w:val="bottom"/>
          </w:tcPr>
          <w:p w:rsidR="00DC654E" w:rsidRPr="007049AF" w:rsidRDefault="00DC654E" w:rsidP="004036E9">
            <w:pPr>
              <w:spacing w:after="0" w:line="240" w:lineRule="auto"/>
              <w:jc w:val="right"/>
              <w:rPr>
                <w:rFonts w:ascii="Arial" w:eastAsia="Times New Roman" w:hAnsi="Arial" w:cs="Arial"/>
                <w:b/>
                <w:sz w:val="20"/>
                <w:szCs w:val="20"/>
                <w:lang w:eastAsia="en-GB"/>
              </w:rPr>
            </w:pPr>
            <w:r w:rsidRPr="007D2236">
              <w:rPr>
                <w:rFonts w:ascii="Arial" w:eastAsia="Times New Roman" w:hAnsi="Arial" w:cs="Arial"/>
                <w:b/>
                <w:sz w:val="20"/>
                <w:szCs w:val="20"/>
                <w:lang w:eastAsia="en-GB"/>
              </w:rPr>
              <w:t>(3,</w:t>
            </w:r>
            <w:r>
              <w:rPr>
                <w:rFonts w:ascii="Arial" w:eastAsia="Times New Roman" w:hAnsi="Arial" w:cs="Arial"/>
                <w:b/>
                <w:sz w:val="20"/>
                <w:szCs w:val="20"/>
                <w:lang w:eastAsia="en-GB"/>
              </w:rPr>
              <w:t>932</w:t>
            </w:r>
            <w:r w:rsidRPr="007049AF">
              <w:rPr>
                <w:rFonts w:ascii="Arial" w:eastAsia="Times New Roman" w:hAnsi="Arial" w:cs="Arial"/>
                <w:b/>
                <w:sz w:val="20"/>
                <w:szCs w:val="20"/>
                <w:lang w:eastAsia="en-GB"/>
              </w:rPr>
              <w:t>)</w:t>
            </w:r>
          </w:p>
        </w:tc>
      </w:tr>
    </w:tbl>
    <w:p w:rsidR="00AF054C" w:rsidRDefault="00AF054C">
      <w:pPr>
        <w:rPr>
          <w:sz w:val="16"/>
          <w:szCs w:val="16"/>
        </w:rPr>
      </w:pPr>
    </w:p>
    <w:p w:rsidR="00DC654E" w:rsidRDefault="00DC654E">
      <w:pPr>
        <w:spacing w:after="0" w:line="240" w:lineRule="auto"/>
      </w:pPr>
      <w:r>
        <w:br w:type="page"/>
      </w:r>
    </w:p>
    <w:p w:rsidR="00A25F02" w:rsidRDefault="00A25F02"/>
    <w:tbl>
      <w:tblPr>
        <w:tblW w:w="10490" w:type="dxa"/>
        <w:tblInd w:w="108" w:type="dxa"/>
        <w:tblLayout w:type="fixed"/>
        <w:tblLook w:val="04A0" w:firstRow="1" w:lastRow="0" w:firstColumn="1" w:lastColumn="0" w:noHBand="0" w:noVBand="1"/>
      </w:tblPr>
      <w:tblGrid>
        <w:gridCol w:w="708"/>
        <w:gridCol w:w="6663"/>
        <w:gridCol w:w="1701"/>
        <w:gridCol w:w="1418"/>
      </w:tblGrid>
      <w:tr w:rsidR="00C93A06" w:rsidRPr="00CF1960" w:rsidTr="00191DA8">
        <w:trPr>
          <w:trHeight w:val="57"/>
        </w:trPr>
        <w:tc>
          <w:tcPr>
            <w:tcW w:w="10490" w:type="dxa"/>
            <w:gridSpan w:val="4"/>
            <w:tcBorders>
              <w:top w:val="nil"/>
              <w:left w:val="nil"/>
              <w:bottom w:val="nil"/>
              <w:right w:val="nil"/>
            </w:tcBorders>
          </w:tcPr>
          <w:p w:rsidR="00875418" w:rsidRDefault="00875418" w:rsidP="00EF5725">
            <w:pPr>
              <w:spacing w:after="0" w:line="240" w:lineRule="auto"/>
              <w:rPr>
                <w:sz w:val="16"/>
                <w:szCs w:val="16"/>
              </w:rPr>
            </w:pPr>
          </w:p>
          <w:p w:rsidR="00C93A06" w:rsidRPr="00CF1960" w:rsidRDefault="00C93A06" w:rsidP="00EF5725">
            <w:pPr>
              <w:spacing w:after="0" w:line="240" w:lineRule="auto"/>
              <w:rPr>
                <w:rFonts w:ascii="Arial" w:eastAsia="Times New Roman" w:hAnsi="Arial" w:cs="Arial"/>
                <w:sz w:val="24"/>
                <w:szCs w:val="24"/>
                <w:lang w:eastAsia="en-GB"/>
              </w:rPr>
            </w:pPr>
            <w:r w:rsidRPr="00CF1960">
              <w:rPr>
                <w:rFonts w:ascii="Arial" w:eastAsia="Times New Roman" w:hAnsi="Arial" w:cs="Arial"/>
                <w:b/>
                <w:bCs/>
                <w:sz w:val="24"/>
                <w:szCs w:val="24"/>
                <w:lang w:eastAsia="en-GB"/>
              </w:rPr>
              <w:t>Consolidated Balance Sheet</w:t>
            </w:r>
          </w:p>
        </w:tc>
      </w:tr>
      <w:tr w:rsidR="00C93A06" w:rsidRPr="002A24CC" w:rsidTr="00191DA8">
        <w:trPr>
          <w:trHeight w:val="57"/>
        </w:trPr>
        <w:tc>
          <w:tcPr>
            <w:tcW w:w="10490" w:type="dxa"/>
            <w:gridSpan w:val="4"/>
            <w:tcBorders>
              <w:top w:val="nil"/>
              <w:left w:val="nil"/>
              <w:bottom w:val="nil"/>
              <w:right w:val="nil"/>
            </w:tcBorders>
          </w:tcPr>
          <w:p w:rsidR="00C93A06" w:rsidRPr="002A24CC" w:rsidRDefault="00C93A06" w:rsidP="00EF5725">
            <w:pPr>
              <w:spacing w:after="0" w:line="240" w:lineRule="auto"/>
              <w:rPr>
                <w:rFonts w:ascii="Arial" w:eastAsia="Times New Roman" w:hAnsi="Arial" w:cs="Arial"/>
                <w:sz w:val="20"/>
                <w:szCs w:val="20"/>
                <w:lang w:eastAsia="en-GB"/>
              </w:rPr>
            </w:pPr>
            <w:r w:rsidRPr="002A24CC">
              <w:rPr>
                <w:rFonts w:ascii="Arial" w:eastAsia="Times New Roman" w:hAnsi="Arial" w:cs="Arial"/>
                <w:b/>
                <w:bCs/>
                <w:sz w:val="20"/>
                <w:szCs w:val="20"/>
                <w:lang w:eastAsia="en-GB"/>
              </w:rPr>
              <w:t xml:space="preserve">AT 31 MARCH </w:t>
            </w:r>
            <w:r w:rsidR="00380ECD">
              <w:rPr>
                <w:rFonts w:ascii="Arial" w:eastAsia="Times New Roman" w:hAnsi="Arial" w:cs="Arial"/>
                <w:b/>
                <w:bCs/>
                <w:sz w:val="20"/>
                <w:szCs w:val="20"/>
                <w:lang w:eastAsia="en-GB"/>
              </w:rPr>
              <w:t>2014</w:t>
            </w:r>
          </w:p>
        </w:tc>
      </w:tr>
      <w:tr w:rsidR="00F57565" w:rsidRPr="002A24CC" w:rsidTr="00191DA8">
        <w:trPr>
          <w:trHeight w:val="57"/>
        </w:trPr>
        <w:tc>
          <w:tcPr>
            <w:tcW w:w="708" w:type="dxa"/>
            <w:tcBorders>
              <w:top w:val="nil"/>
              <w:left w:val="nil"/>
              <w:bottom w:val="nil"/>
              <w:right w:val="nil"/>
            </w:tcBorders>
          </w:tcPr>
          <w:p w:rsidR="00F57565" w:rsidRPr="002A24CC" w:rsidRDefault="00F57565" w:rsidP="00EF5725">
            <w:pPr>
              <w:spacing w:after="0" w:line="240" w:lineRule="auto"/>
              <w:jc w:val="right"/>
              <w:rPr>
                <w:rFonts w:ascii="Arial" w:eastAsia="Times New Roman" w:hAnsi="Arial" w:cs="Arial"/>
                <w:sz w:val="16"/>
                <w:szCs w:val="16"/>
                <w:lang w:eastAsia="en-GB"/>
              </w:rPr>
            </w:pPr>
          </w:p>
        </w:tc>
        <w:tc>
          <w:tcPr>
            <w:tcW w:w="6663" w:type="dxa"/>
            <w:tcBorders>
              <w:top w:val="nil"/>
              <w:left w:val="nil"/>
              <w:bottom w:val="nil"/>
              <w:right w:val="nil"/>
            </w:tcBorders>
            <w:shd w:val="clear" w:color="auto" w:fill="auto"/>
            <w:noWrap/>
            <w:vAlign w:val="bottom"/>
          </w:tcPr>
          <w:p w:rsidR="00F57565" w:rsidRPr="002A24CC" w:rsidRDefault="00F57565" w:rsidP="00EF5725">
            <w:pPr>
              <w:spacing w:after="0" w:line="240" w:lineRule="auto"/>
              <w:jc w:val="right"/>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bottom"/>
          </w:tcPr>
          <w:p w:rsidR="00F57565" w:rsidRPr="002A24CC" w:rsidRDefault="00F57565" w:rsidP="00AE2E98">
            <w:pPr>
              <w:spacing w:after="0" w:line="240" w:lineRule="auto"/>
              <w:jc w:val="right"/>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bottom"/>
          </w:tcPr>
          <w:p w:rsidR="00F57565" w:rsidRPr="002A24CC" w:rsidRDefault="00F57565" w:rsidP="00AE2E98">
            <w:pPr>
              <w:spacing w:after="0" w:line="240" w:lineRule="auto"/>
              <w:jc w:val="right"/>
              <w:rPr>
                <w:rFonts w:ascii="Arial" w:eastAsia="Times New Roman" w:hAnsi="Arial" w:cs="Arial"/>
                <w:sz w:val="20"/>
                <w:szCs w:val="20"/>
                <w:lang w:eastAsia="en-GB"/>
              </w:rPr>
            </w:pPr>
          </w:p>
        </w:tc>
      </w:tr>
      <w:tr w:rsidR="00F57565" w:rsidRPr="002A24CC" w:rsidTr="00191DA8">
        <w:trPr>
          <w:trHeight w:val="57"/>
        </w:trPr>
        <w:tc>
          <w:tcPr>
            <w:tcW w:w="708" w:type="dxa"/>
            <w:tcBorders>
              <w:top w:val="nil"/>
              <w:left w:val="nil"/>
              <w:bottom w:val="nil"/>
              <w:right w:val="nil"/>
            </w:tcBorders>
            <w:vAlign w:val="bottom"/>
          </w:tcPr>
          <w:p w:rsidR="00F57565" w:rsidRPr="002A24CC" w:rsidRDefault="00F57565" w:rsidP="00CB361F">
            <w:pPr>
              <w:spacing w:after="0" w:line="240" w:lineRule="auto"/>
              <w:rPr>
                <w:rFonts w:ascii="Arial" w:eastAsia="Times New Roman" w:hAnsi="Arial" w:cs="Arial"/>
                <w:i/>
                <w:iCs/>
                <w:sz w:val="16"/>
                <w:szCs w:val="16"/>
                <w:lang w:eastAsia="en-GB"/>
              </w:rPr>
            </w:pPr>
          </w:p>
        </w:tc>
        <w:tc>
          <w:tcPr>
            <w:tcW w:w="6663" w:type="dxa"/>
            <w:tcBorders>
              <w:top w:val="nil"/>
              <w:left w:val="nil"/>
              <w:right w:val="nil"/>
            </w:tcBorders>
            <w:shd w:val="clear" w:color="auto" w:fill="auto"/>
            <w:noWrap/>
            <w:vAlign w:val="bottom"/>
          </w:tcPr>
          <w:p w:rsidR="00F57565" w:rsidRPr="002A24CC" w:rsidRDefault="00F57565" w:rsidP="00EF5725">
            <w:pPr>
              <w:spacing w:after="0" w:line="240" w:lineRule="auto"/>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bottom"/>
          </w:tcPr>
          <w:p w:rsidR="00F57565" w:rsidRPr="007049AF" w:rsidRDefault="00DC654E" w:rsidP="00AE2E98">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2014</w:t>
            </w:r>
          </w:p>
        </w:tc>
        <w:tc>
          <w:tcPr>
            <w:tcW w:w="1418" w:type="dxa"/>
            <w:tcBorders>
              <w:top w:val="nil"/>
              <w:left w:val="nil"/>
              <w:bottom w:val="nil"/>
              <w:right w:val="nil"/>
            </w:tcBorders>
            <w:shd w:val="clear" w:color="auto" w:fill="auto"/>
            <w:noWrap/>
            <w:vAlign w:val="bottom"/>
          </w:tcPr>
          <w:p w:rsidR="00F57565" w:rsidRPr="002A24CC" w:rsidRDefault="00DC654E" w:rsidP="00AE2E9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2013</w:t>
            </w:r>
          </w:p>
        </w:tc>
      </w:tr>
      <w:tr w:rsidR="00F57565" w:rsidRPr="002A24CC" w:rsidTr="00191DA8">
        <w:trPr>
          <w:trHeight w:val="57"/>
        </w:trPr>
        <w:tc>
          <w:tcPr>
            <w:tcW w:w="708" w:type="dxa"/>
            <w:tcBorders>
              <w:top w:val="nil"/>
              <w:left w:val="nil"/>
              <w:bottom w:val="nil"/>
              <w:right w:val="nil"/>
            </w:tcBorders>
            <w:vAlign w:val="bottom"/>
          </w:tcPr>
          <w:p w:rsidR="00F57565" w:rsidRPr="002A24CC" w:rsidRDefault="00F57565" w:rsidP="002A24CC">
            <w:pPr>
              <w:spacing w:after="0" w:line="240" w:lineRule="auto"/>
              <w:rPr>
                <w:rFonts w:ascii="Arial" w:eastAsia="Times New Roman" w:hAnsi="Arial" w:cs="Arial"/>
                <w:i/>
                <w:iCs/>
                <w:sz w:val="16"/>
                <w:szCs w:val="16"/>
                <w:lang w:eastAsia="en-GB"/>
              </w:rPr>
            </w:pPr>
          </w:p>
        </w:tc>
        <w:tc>
          <w:tcPr>
            <w:tcW w:w="6663" w:type="dxa"/>
            <w:tcBorders>
              <w:top w:val="nil"/>
              <w:left w:val="nil"/>
              <w:bottom w:val="single" w:sz="4" w:space="0" w:color="auto"/>
              <w:right w:val="nil"/>
            </w:tcBorders>
            <w:shd w:val="clear" w:color="auto" w:fill="auto"/>
            <w:noWrap/>
            <w:vAlign w:val="bottom"/>
          </w:tcPr>
          <w:p w:rsidR="00F57565" w:rsidRPr="002A24CC" w:rsidRDefault="00F57565" w:rsidP="00EF5725">
            <w:pPr>
              <w:spacing w:after="0" w:line="240" w:lineRule="auto"/>
              <w:rPr>
                <w:rFonts w:ascii="Arial" w:eastAsia="Times New Roman" w:hAnsi="Arial" w:cs="Arial"/>
                <w:sz w:val="20"/>
                <w:szCs w:val="20"/>
                <w:lang w:eastAsia="en-GB"/>
              </w:rPr>
            </w:pPr>
            <w:r w:rsidRPr="002A24CC">
              <w:rPr>
                <w:rFonts w:ascii="Arial" w:eastAsia="Times New Roman" w:hAnsi="Arial" w:cs="Arial"/>
                <w:i/>
                <w:iCs/>
                <w:sz w:val="20"/>
                <w:szCs w:val="20"/>
                <w:lang w:eastAsia="en-GB"/>
              </w:rPr>
              <w:t> </w:t>
            </w:r>
          </w:p>
        </w:tc>
        <w:tc>
          <w:tcPr>
            <w:tcW w:w="1701" w:type="dxa"/>
            <w:tcBorders>
              <w:top w:val="nil"/>
              <w:left w:val="nil"/>
              <w:bottom w:val="single" w:sz="4" w:space="0" w:color="auto"/>
              <w:right w:val="nil"/>
            </w:tcBorders>
            <w:shd w:val="clear" w:color="auto" w:fill="auto"/>
            <w:noWrap/>
            <w:vAlign w:val="bottom"/>
          </w:tcPr>
          <w:p w:rsidR="00F57565" w:rsidRPr="007049AF" w:rsidRDefault="00F57565" w:rsidP="00AE2E98">
            <w:pPr>
              <w:spacing w:after="0" w:line="240" w:lineRule="auto"/>
              <w:jc w:val="right"/>
              <w:rPr>
                <w:rFonts w:ascii="Arial" w:eastAsia="Times New Roman" w:hAnsi="Arial" w:cs="Arial"/>
                <w:b/>
                <w:sz w:val="20"/>
                <w:szCs w:val="20"/>
                <w:lang w:eastAsia="en-GB"/>
              </w:rPr>
            </w:pPr>
            <w:r w:rsidRPr="007049AF">
              <w:rPr>
                <w:rFonts w:ascii="Arial" w:eastAsia="Times New Roman" w:hAnsi="Arial" w:cs="Arial"/>
                <w:b/>
                <w:sz w:val="20"/>
                <w:szCs w:val="20"/>
                <w:lang w:eastAsia="en-GB"/>
              </w:rPr>
              <w:t>£'000</w:t>
            </w:r>
          </w:p>
        </w:tc>
        <w:tc>
          <w:tcPr>
            <w:tcW w:w="1418" w:type="dxa"/>
            <w:tcBorders>
              <w:top w:val="nil"/>
              <w:left w:val="nil"/>
              <w:bottom w:val="single" w:sz="4" w:space="0" w:color="auto"/>
              <w:right w:val="nil"/>
            </w:tcBorders>
            <w:shd w:val="clear" w:color="auto" w:fill="auto"/>
            <w:noWrap/>
            <w:vAlign w:val="bottom"/>
          </w:tcPr>
          <w:p w:rsidR="00F57565" w:rsidRPr="002A24CC" w:rsidRDefault="00F57565" w:rsidP="00AE2E98">
            <w:pPr>
              <w:spacing w:after="0" w:line="240" w:lineRule="auto"/>
              <w:jc w:val="right"/>
              <w:rPr>
                <w:rFonts w:ascii="Arial" w:eastAsia="Times New Roman" w:hAnsi="Arial" w:cs="Arial"/>
                <w:sz w:val="20"/>
                <w:szCs w:val="20"/>
                <w:lang w:eastAsia="en-GB"/>
              </w:rPr>
            </w:pPr>
            <w:r w:rsidRPr="002A24CC">
              <w:rPr>
                <w:rFonts w:ascii="Arial" w:eastAsia="Times New Roman" w:hAnsi="Arial" w:cs="Arial"/>
                <w:sz w:val="20"/>
                <w:szCs w:val="20"/>
                <w:lang w:eastAsia="en-GB"/>
              </w:rPr>
              <w:t>£'000</w:t>
            </w:r>
          </w:p>
        </w:tc>
      </w:tr>
      <w:tr w:rsidR="00F57565" w:rsidRPr="002A24CC" w:rsidTr="00191DA8">
        <w:trPr>
          <w:trHeight w:val="57"/>
        </w:trPr>
        <w:tc>
          <w:tcPr>
            <w:tcW w:w="708" w:type="dxa"/>
            <w:tcBorders>
              <w:top w:val="nil"/>
              <w:left w:val="nil"/>
              <w:bottom w:val="nil"/>
              <w:right w:val="nil"/>
            </w:tcBorders>
            <w:vAlign w:val="bottom"/>
          </w:tcPr>
          <w:p w:rsidR="00F57565" w:rsidRPr="002A24CC" w:rsidRDefault="00F57565" w:rsidP="002A24CC">
            <w:pPr>
              <w:spacing w:after="0" w:line="240" w:lineRule="auto"/>
              <w:rPr>
                <w:rFonts w:ascii="Arial" w:eastAsia="Times New Roman" w:hAnsi="Arial" w:cs="Arial"/>
                <w:sz w:val="16"/>
                <w:szCs w:val="16"/>
                <w:lang w:eastAsia="en-GB"/>
              </w:rPr>
            </w:pPr>
          </w:p>
        </w:tc>
        <w:tc>
          <w:tcPr>
            <w:tcW w:w="6663" w:type="dxa"/>
            <w:tcBorders>
              <w:top w:val="single" w:sz="4" w:space="0" w:color="auto"/>
              <w:left w:val="nil"/>
              <w:bottom w:val="nil"/>
              <w:right w:val="nil"/>
            </w:tcBorders>
            <w:shd w:val="clear" w:color="auto" w:fill="auto"/>
            <w:noWrap/>
            <w:vAlign w:val="bottom"/>
          </w:tcPr>
          <w:p w:rsidR="00F57565" w:rsidRPr="002A24CC" w:rsidRDefault="00F57565" w:rsidP="00EF5725">
            <w:pPr>
              <w:spacing w:after="0" w:line="240" w:lineRule="auto"/>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bottom"/>
          </w:tcPr>
          <w:p w:rsidR="00F57565" w:rsidRPr="007049AF" w:rsidRDefault="00F57565" w:rsidP="00AE2E98">
            <w:pPr>
              <w:spacing w:after="0" w:line="240" w:lineRule="auto"/>
              <w:jc w:val="right"/>
              <w:rPr>
                <w:rFonts w:ascii="Arial" w:eastAsia="Times New Roman" w:hAnsi="Arial" w:cs="Arial"/>
                <w:b/>
                <w:sz w:val="20"/>
                <w:szCs w:val="20"/>
                <w:lang w:eastAsia="en-GB"/>
              </w:rPr>
            </w:pPr>
          </w:p>
        </w:tc>
        <w:tc>
          <w:tcPr>
            <w:tcW w:w="1418" w:type="dxa"/>
            <w:tcBorders>
              <w:top w:val="nil"/>
              <w:left w:val="nil"/>
              <w:bottom w:val="nil"/>
              <w:right w:val="nil"/>
            </w:tcBorders>
            <w:shd w:val="clear" w:color="auto" w:fill="auto"/>
            <w:noWrap/>
            <w:vAlign w:val="bottom"/>
          </w:tcPr>
          <w:p w:rsidR="00F57565" w:rsidRPr="002A24CC" w:rsidRDefault="00F57565" w:rsidP="00AE2E98">
            <w:pPr>
              <w:spacing w:after="0" w:line="240" w:lineRule="auto"/>
              <w:jc w:val="right"/>
              <w:rPr>
                <w:rFonts w:ascii="Arial" w:eastAsia="Times New Roman" w:hAnsi="Arial" w:cs="Arial"/>
                <w:sz w:val="20"/>
                <w:szCs w:val="20"/>
                <w:lang w:eastAsia="en-GB"/>
              </w:rPr>
            </w:pPr>
          </w:p>
        </w:tc>
      </w:tr>
      <w:tr w:rsidR="00F57565" w:rsidRPr="002A24CC" w:rsidTr="00191DA8">
        <w:trPr>
          <w:trHeight w:val="57"/>
        </w:trPr>
        <w:tc>
          <w:tcPr>
            <w:tcW w:w="708" w:type="dxa"/>
            <w:tcBorders>
              <w:top w:val="nil"/>
              <w:left w:val="nil"/>
              <w:bottom w:val="nil"/>
              <w:right w:val="nil"/>
            </w:tcBorders>
            <w:vAlign w:val="bottom"/>
          </w:tcPr>
          <w:p w:rsidR="00F57565" w:rsidRPr="002A24CC" w:rsidRDefault="00F57565" w:rsidP="002A24CC">
            <w:pPr>
              <w:spacing w:after="0" w:line="240" w:lineRule="auto"/>
              <w:rPr>
                <w:rFonts w:ascii="Arial" w:eastAsia="Times New Roman" w:hAnsi="Arial" w:cs="Arial"/>
                <w:b/>
                <w:bCs/>
                <w:sz w:val="16"/>
                <w:szCs w:val="16"/>
                <w:lang w:eastAsia="en-GB"/>
              </w:rPr>
            </w:pPr>
          </w:p>
        </w:tc>
        <w:tc>
          <w:tcPr>
            <w:tcW w:w="6663" w:type="dxa"/>
            <w:tcBorders>
              <w:top w:val="nil"/>
              <w:left w:val="nil"/>
              <w:bottom w:val="nil"/>
              <w:right w:val="nil"/>
            </w:tcBorders>
            <w:shd w:val="clear" w:color="auto" w:fill="auto"/>
            <w:noWrap/>
            <w:vAlign w:val="bottom"/>
          </w:tcPr>
          <w:p w:rsidR="00F57565" w:rsidRPr="002A24CC" w:rsidRDefault="00F57565" w:rsidP="00EF5725">
            <w:pPr>
              <w:spacing w:after="0" w:line="240" w:lineRule="auto"/>
              <w:rPr>
                <w:rFonts w:ascii="Arial" w:eastAsia="Times New Roman" w:hAnsi="Arial" w:cs="Arial"/>
                <w:sz w:val="20"/>
                <w:szCs w:val="20"/>
                <w:lang w:eastAsia="en-GB"/>
              </w:rPr>
            </w:pPr>
            <w:r w:rsidRPr="002A24CC">
              <w:rPr>
                <w:rFonts w:ascii="Arial" w:eastAsia="Times New Roman" w:hAnsi="Arial" w:cs="Arial"/>
                <w:b/>
                <w:bCs/>
                <w:sz w:val="20"/>
                <w:szCs w:val="20"/>
                <w:lang w:eastAsia="en-GB"/>
              </w:rPr>
              <w:t>Non-current assets</w:t>
            </w:r>
          </w:p>
        </w:tc>
        <w:tc>
          <w:tcPr>
            <w:tcW w:w="1701" w:type="dxa"/>
            <w:tcBorders>
              <w:top w:val="nil"/>
              <w:left w:val="nil"/>
              <w:bottom w:val="nil"/>
              <w:right w:val="nil"/>
            </w:tcBorders>
            <w:shd w:val="clear" w:color="auto" w:fill="auto"/>
            <w:noWrap/>
            <w:vAlign w:val="bottom"/>
          </w:tcPr>
          <w:p w:rsidR="00F57565" w:rsidRPr="007049AF" w:rsidRDefault="00F57565" w:rsidP="00AE2E98">
            <w:pPr>
              <w:spacing w:after="0" w:line="240" w:lineRule="auto"/>
              <w:jc w:val="right"/>
              <w:rPr>
                <w:rFonts w:ascii="Arial" w:eastAsia="Times New Roman" w:hAnsi="Arial" w:cs="Arial"/>
                <w:b/>
                <w:sz w:val="20"/>
                <w:szCs w:val="20"/>
                <w:lang w:eastAsia="en-GB"/>
              </w:rPr>
            </w:pPr>
          </w:p>
        </w:tc>
        <w:tc>
          <w:tcPr>
            <w:tcW w:w="1418" w:type="dxa"/>
            <w:tcBorders>
              <w:top w:val="nil"/>
              <w:left w:val="nil"/>
              <w:bottom w:val="nil"/>
              <w:right w:val="nil"/>
            </w:tcBorders>
            <w:shd w:val="clear" w:color="auto" w:fill="auto"/>
            <w:noWrap/>
            <w:vAlign w:val="bottom"/>
          </w:tcPr>
          <w:p w:rsidR="00F57565" w:rsidRPr="002A24CC" w:rsidRDefault="00F57565" w:rsidP="00AE2E98">
            <w:pPr>
              <w:spacing w:after="0" w:line="240" w:lineRule="auto"/>
              <w:jc w:val="right"/>
              <w:rPr>
                <w:rFonts w:ascii="Arial" w:eastAsia="Times New Roman" w:hAnsi="Arial" w:cs="Arial"/>
                <w:sz w:val="20"/>
                <w:szCs w:val="20"/>
                <w:lang w:eastAsia="en-GB"/>
              </w:rPr>
            </w:pP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Intangible assets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12,2</w:t>
            </w:r>
            <w:r w:rsidR="003A44CF">
              <w:rPr>
                <w:rFonts w:ascii="Arial" w:eastAsia="Times New Roman" w:hAnsi="Arial" w:cs="Arial"/>
                <w:b/>
                <w:sz w:val="20"/>
                <w:szCs w:val="20"/>
                <w:lang w:eastAsia="en-GB"/>
              </w:rPr>
              <w:t>38</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12,315</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Property, plant and equipment</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16,</w:t>
            </w:r>
            <w:r w:rsidR="003A44CF">
              <w:rPr>
                <w:rFonts w:ascii="Arial" w:eastAsia="Times New Roman" w:hAnsi="Arial" w:cs="Arial"/>
                <w:b/>
                <w:sz w:val="20"/>
                <w:szCs w:val="20"/>
                <w:lang w:eastAsia="en-GB"/>
              </w:rPr>
              <w:t>609</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13,725</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Investment properties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3,396</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2,786</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DD3B38">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DD3B38">
            <w:pPr>
              <w:spacing w:after="0" w:line="240" w:lineRule="auto"/>
              <w:rPr>
                <w:rFonts w:ascii="Arial" w:eastAsia="Times New Roman" w:hAnsi="Arial" w:cs="Arial"/>
                <w:i/>
                <w:iCs/>
                <w:sz w:val="20"/>
                <w:szCs w:val="20"/>
                <w:lang w:eastAsia="en-GB"/>
              </w:rPr>
            </w:pPr>
            <w:r>
              <w:rPr>
                <w:rFonts w:ascii="Arial" w:eastAsia="Times New Roman" w:hAnsi="Arial" w:cs="Arial"/>
                <w:sz w:val="20"/>
                <w:szCs w:val="20"/>
                <w:lang w:eastAsia="en-GB"/>
              </w:rPr>
              <w:t>Shares held in Falkland Oil and Gas Limited</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3,270</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3,399</w:t>
            </w:r>
          </w:p>
        </w:tc>
      </w:tr>
      <w:tr w:rsidR="00380ECD" w:rsidRPr="00AB2944" w:rsidTr="004036E9">
        <w:trPr>
          <w:trHeight w:val="57"/>
        </w:trPr>
        <w:tc>
          <w:tcPr>
            <w:tcW w:w="708" w:type="dxa"/>
            <w:tcBorders>
              <w:top w:val="nil"/>
              <w:left w:val="nil"/>
              <w:bottom w:val="nil"/>
              <w:right w:val="nil"/>
            </w:tcBorders>
            <w:vAlign w:val="bottom"/>
          </w:tcPr>
          <w:p w:rsidR="00380ECD" w:rsidRPr="002A24CC" w:rsidRDefault="00380ECD" w:rsidP="004036E9">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4036E9">
            <w:pPr>
              <w:spacing w:after="0" w:line="240" w:lineRule="auto"/>
              <w:rPr>
                <w:rFonts w:ascii="Arial" w:eastAsia="Times New Roman" w:hAnsi="Arial" w:cs="Arial"/>
                <w:i/>
                <w:iCs/>
                <w:sz w:val="20"/>
                <w:szCs w:val="20"/>
                <w:lang w:eastAsia="en-GB"/>
              </w:rPr>
            </w:pPr>
            <w:r>
              <w:rPr>
                <w:rFonts w:ascii="Arial" w:eastAsia="Times New Roman" w:hAnsi="Arial" w:cs="Arial"/>
                <w:sz w:val="20"/>
                <w:szCs w:val="20"/>
                <w:lang w:eastAsia="en-GB"/>
              </w:rPr>
              <w:t>Investment in Joint venture</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86</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50</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7D2236">
            <w:pPr>
              <w:spacing w:after="0" w:line="240" w:lineRule="auto"/>
              <w:rPr>
                <w:rFonts w:ascii="Arial" w:eastAsia="Times New Roman" w:hAnsi="Arial" w:cs="Arial"/>
                <w:i/>
                <w:iCs/>
                <w:sz w:val="20"/>
                <w:szCs w:val="20"/>
                <w:lang w:eastAsia="en-GB"/>
              </w:rPr>
            </w:pPr>
            <w:r>
              <w:rPr>
                <w:rFonts w:ascii="Arial" w:eastAsia="Times New Roman" w:hAnsi="Arial" w:cs="Arial"/>
                <w:sz w:val="20"/>
                <w:szCs w:val="20"/>
                <w:lang w:eastAsia="en-GB"/>
              </w:rPr>
              <w:t>Loan to Joint venture</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529</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80ECD" w:rsidRPr="00AB2944" w:rsidTr="00191DA8">
        <w:trPr>
          <w:trHeight w:val="88"/>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7049AF">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Non-current assets held</w:t>
            </w:r>
            <w:r>
              <w:rPr>
                <w:rFonts w:ascii="Arial" w:eastAsia="Times New Roman" w:hAnsi="Arial" w:cs="Arial"/>
                <w:sz w:val="20"/>
                <w:szCs w:val="20"/>
                <w:lang w:eastAsia="en-GB"/>
              </w:rPr>
              <w:t>-</w:t>
            </w:r>
            <w:r w:rsidRPr="002A24CC">
              <w:rPr>
                <w:rFonts w:ascii="Arial" w:eastAsia="Times New Roman" w:hAnsi="Arial" w:cs="Arial"/>
                <w:sz w:val="20"/>
                <w:szCs w:val="20"/>
                <w:lang w:eastAsia="en-GB"/>
              </w:rPr>
              <w:t>for</w:t>
            </w:r>
            <w:r>
              <w:rPr>
                <w:rFonts w:ascii="Arial" w:eastAsia="Times New Roman" w:hAnsi="Arial" w:cs="Arial"/>
                <w:sz w:val="20"/>
                <w:szCs w:val="20"/>
                <w:lang w:eastAsia="en-GB"/>
              </w:rPr>
              <w:t>-</w:t>
            </w:r>
            <w:r w:rsidRPr="002A24CC">
              <w:rPr>
                <w:rFonts w:ascii="Arial" w:eastAsia="Times New Roman" w:hAnsi="Arial" w:cs="Arial"/>
                <w:sz w:val="20"/>
                <w:szCs w:val="20"/>
                <w:lang w:eastAsia="en-GB"/>
              </w:rPr>
              <w:t>sale</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20</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Other financial assets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342</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121</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Deferred tax assets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645</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671</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bottom w:val="single" w:sz="4" w:space="0" w:color="auto"/>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p>
        </w:tc>
        <w:tc>
          <w:tcPr>
            <w:tcW w:w="1701" w:type="dxa"/>
            <w:tcBorders>
              <w:top w:val="nil"/>
              <w:left w:val="nil"/>
              <w:bottom w:val="single" w:sz="4" w:space="0" w:color="auto"/>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 </w:t>
            </w:r>
          </w:p>
        </w:tc>
        <w:tc>
          <w:tcPr>
            <w:tcW w:w="1418" w:type="dxa"/>
            <w:tcBorders>
              <w:top w:val="nil"/>
              <w:left w:val="nil"/>
              <w:bottom w:val="single" w:sz="4" w:space="0" w:color="auto"/>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b/>
                <w:bCs/>
                <w:sz w:val="16"/>
                <w:szCs w:val="16"/>
                <w:lang w:eastAsia="en-GB"/>
              </w:rPr>
            </w:pPr>
          </w:p>
        </w:tc>
        <w:tc>
          <w:tcPr>
            <w:tcW w:w="6663" w:type="dxa"/>
            <w:tcBorders>
              <w:top w:val="single" w:sz="4" w:space="0" w:color="auto"/>
              <w:left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b/>
                <w:bCs/>
                <w:sz w:val="20"/>
                <w:szCs w:val="20"/>
                <w:lang w:eastAsia="en-GB"/>
              </w:rPr>
              <w:t>Total non-current assets</w:t>
            </w:r>
          </w:p>
        </w:tc>
        <w:tc>
          <w:tcPr>
            <w:tcW w:w="1701" w:type="dxa"/>
            <w:tcBorders>
              <w:top w:val="nil"/>
              <w:left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37,115</w:t>
            </w:r>
          </w:p>
        </w:tc>
        <w:tc>
          <w:tcPr>
            <w:tcW w:w="1418" w:type="dxa"/>
            <w:tcBorders>
              <w:top w:val="nil"/>
              <w:left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33,087</w:t>
            </w:r>
          </w:p>
        </w:tc>
      </w:tr>
      <w:tr w:rsidR="00380ECD" w:rsidRPr="00AB2944" w:rsidTr="00860682">
        <w:trPr>
          <w:trHeight w:val="57"/>
        </w:trPr>
        <w:tc>
          <w:tcPr>
            <w:tcW w:w="708" w:type="dxa"/>
            <w:tcBorders>
              <w:top w:val="nil"/>
              <w:left w:val="nil"/>
              <w:bottom w:val="nil"/>
              <w:right w:val="nil"/>
            </w:tcBorders>
            <w:vAlign w:val="bottom"/>
          </w:tcPr>
          <w:p w:rsidR="00380ECD" w:rsidRPr="002A24CC" w:rsidRDefault="00380ECD" w:rsidP="0038115F">
            <w:pPr>
              <w:spacing w:after="0" w:line="240" w:lineRule="auto"/>
              <w:rPr>
                <w:rFonts w:ascii="Arial" w:eastAsia="Times New Roman" w:hAnsi="Arial" w:cs="Arial"/>
                <w:b/>
                <w:bCs/>
                <w:sz w:val="16"/>
                <w:szCs w:val="16"/>
                <w:lang w:eastAsia="en-GB"/>
              </w:rPr>
            </w:pPr>
          </w:p>
        </w:tc>
        <w:tc>
          <w:tcPr>
            <w:tcW w:w="6663" w:type="dxa"/>
            <w:tcBorders>
              <w:top w:val="nil"/>
              <w:left w:val="nil"/>
              <w:right w:val="nil"/>
            </w:tcBorders>
            <w:shd w:val="clear" w:color="auto" w:fill="auto"/>
            <w:noWrap/>
            <w:vAlign w:val="bottom"/>
          </w:tcPr>
          <w:p w:rsidR="00380ECD" w:rsidRPr="002A24CC" w:rsidRDefault="00380ECD" w:rsidP="0038115F">
            <w:pPr>
              <w:spacing w:after="0" w:line="240" w:lineRule="auto"/>
              <w:rPr>
                <w:rFonts w:ascii="Arial" w:eastAsia="Times New Roman" w:hAnsi="Arial" w:cs="Arial"/>
                <w:sz w:val="20"/>
                <w:szCs w:val="20"/>
                <w:lang w:eastAsia="en-GB"/>
              </w:rPr>
            </w:pPr>
          </w:p>
        </w:tc>
        <w:tc>
          <w:tcPr>
            <w:tcW w:w="1701" w:type="dxa"/>
            <w:tcBorders>
              <w:top w:val="nil"/>
              <w:left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p>
        </w:tc>
        <w:tc>
          <w:tcPr>
            <w:tcW w:w="1418" w:type="dxa"/>
            <w:tcBorders>
              <w:top w:val="nil"/>
              <w:left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p>
        </w:tc>
      </w:tr>
      <w:tr w:rsidR="00380ECD" w:rsidRPr="00AB2944" w:rsidTr="00860682">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b/>
                <w:bCs/>
                <w:sz w:val="16"/>
                <w:szCs w:val="16"/>
                <w:lang w:eastAsia="en-GB"/>
              </w:rPr>
            </w:pPr>
          </w:p>
        </w:tc>
        <w:tc>
          <w:tcPr>
            <w:tcW w:w="6663" w:type="dxa"/>
            <w:tcBorders>
              <w:left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b/>
                <w:bCs/>
                <w:sz w:val="20"/>
                <w:szCs w:val="20"/>
                <w:lang w:eastAsia="en-GB"/>
              </w:rPr>
              <w:t>Current assets</w:t>
            </w:r>
          </w:p>
        </w:tc>
        <w:tc>
          <w:tcPr>
            <w:tcW w:w="1701" w:type="dxa"/>
            <w:tcBorders>
              <w:left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p>
        </w:tc>
        <w:tc>
          <w:tcPr>
            <w:tcW w:w="1418" w:type="dxa"/>
            <w:tcBorders>
              <w:left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p>
        </w:tc>
      </w:tr>
      <w:tr w:rsidR="00380ECD" w:rsidRPr="00AB2944" w:rsidTr="00860682">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Inventories</w:t>
            </w:r>
          </w:p>
        </w:tc>
        <w:tc>
          <w:tcPr>
            <w:tcW w:w="1701" w:type="dxa"/>
            <w:tcBorders>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6,692</w:t>
            </w:r>
          </w:p>
        </w:tc>
        <w:tc>
          <w:tcPr>
            <w:tcW w:w="1418" w:type="dxa"/>
            <w:tcBorders>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5,099</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Trade and other receivables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7,041</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6,133</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Other financial assets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503</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486</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Cash and cash equivalents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5,715</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11,416</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bottom w:val="single" w:sz="4" w:space="0" w:color="auto"/>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p>
        </w:tc>
        <w:tc>
          <w:tcPr>
            <w:tcW w:w="1701" w:type="dxa"/>
            <w:tcBorders>
              <w:top w:val="nil"/>
              <w:left w:val="nil"/>
              <w:bottom w:val="single" w:sz="4" w:space="0" w:color="auto"/>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 </w:t>
            </w:r>
          </w:p>
        </w:tc>
        <w:tc>
          <w:tcPr>
            <w:tcW w:w="1418" w:type="dxa"/>
            <w:tcBorders>
              <w:top w:val="nil"/>
              <w:left w:val="nil"/>
              <w:bottom w:val="single" w:sz="4" w:space="0" w:color="auto"/>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b/>
                <w:bCs/>
                <w:sz w:val="16"/>
                <w:szCs w:val="16"/>
                <w:lang w:eastAsia="en-GB"/>
              </w:rPr>
            </w:pPr>
          </w:p>
        </w:tc>
        <w:tc>
          <w:tcPr>
            <w:tcW w:w="6663" w:type="dxa"/>
            <w:tcBorders>
              <w:top w:val="single" w:sz="4" w:space="0" w:color="auto"/>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b/>
                <w:bCs/>
                <w:sz w:val="20"/>
                <w:szCs w:val="20"/>
                <w:lang w:eastAsia="en-GB"/>
              </w:rPr>
              <w:t>Total current assets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19,951</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23,134</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b/>
                <w:b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b/>
                <w:bCs/>
                <w:sz w:val="20"/>
                <w:szCs w:val="20"/>
                <w:lang w:eastAsia="en-GB"/>
              </w:rPr>
              <w:t>TOTAL ASSETS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57,066</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56,221</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b/>
                <w:b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b/>
                <w:bCs/>
                <w:sz w:val="20"/>
                <w:szCs w:val="20"/>
                <w:lang w:eastAsia="en-GB"/>
              </w:rPr>
              <w:t>Current liabilities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p>
        </w:tc>
        <w:tc>
          <w:tcPr>
            <w:tcW w:w="1418" w:type="dxa"/>
            <w:tcBorders>
              <w:top w:val="nil"/>
              <w:left w:val="nil"/>
              <w:bottom w:val="nil"/>
              <w:right w:val="nil"/>
            </w:tcBorders>
            <w:shd w:val="clear" w:color="auto" w:fill="auto"/>
            <w:noWrap/>
            <w:vAlign w:val="bottom"/>
          </w:tcPr>
          <w:p w:rsidR="00380ECD" w:rsidRPr="00380ECD" w:rsidRDefault="00380ECD" w:rsidP="004036E9">
            <w:pPr>
              <w:rPr>
                <w:rFonts w:ascii="Arial" w:hAnsi="Arial" w:cs="Arial"/>
                <w:sz w:val="32"/>
                <w:szCs w:val="32"/>
              </w:rPr>
            </w:pP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7049AF">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Interest</w:t>
            </w:r>
            <w:r>
              <w:rPr>
                <w:rFonts w:ascii="Arial" w:eastAsia="Times New Roman" w:hAnsi="Arial" w:cs="Arial"/>
                <w:sz w:val="20"/>
                <w:szCs w:val="20"/>
                <w:lang w:eastAsia="en-GB"/>
              </w:rPr>
              <w:t>-</w:t>
            </w:r>
            <w:r w:rsidRPr="002A24CC">
              <w:rPr>
                <w:rFonts w:ascii="Arial" w:eastAsia="Times New Roman" w:hAnsi="Arial" w:cs="Arial"/>
                <w:sz w:val="20"/>
                <w:szCs w:val="20"/>
                <w:lang w:eastAsia="en-GB"/>
              </w:rPr>
              <w:t>bearing loans and borrowings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(1,109)</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(1,149)</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Income tax payable</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(419)</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(364)</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Trade and other payables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(10,981)</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(10,012)</w:t>
            </w:r>
          </w:p>
        </w:tc>
      </w:tr>
      <w:tr w:rsidR="00380ECD" w:rsidRPr="00AB2944"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bottom w:val="single" w:sz="4" w:space="0" w:color="auto"/>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 </w:t>
            </w:r>
          </w:p>
        </w:tc>
        <w:tc>
          <w:tcPr>
            <w:tcW w:w="1701" w:type="dxa"/>
            <w:tcBorders>
              <w:top w:val="nil"/>
              <w:left w:val="nil"/>
              <w:bottom w:val="single" w:sz="4" w:space="0" w:color="auto"/>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 </w:t>
            </w:r>
          </w:p>
        </w:tc>
        <w:tc>
          <w:tcPr>
            <w:tcW w:w="1418" w:type="dxa"/>
            <w:tcBorders>
              <w:top w:val="nil"/>
              <w:left w:val="nil"/>
              <w:bottom w:val="single" w:sz="4" w:space="0" w:color="auto"/>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 </w:t>
            </w: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b/>
                <w:bCs/>
                <w:sz w:val="16"/>
                <w:szCs w:val="16"/>
                <w:lang w:eastAsia="en-GB"/>
              </w:rPr>
            </w:pPr>
          </w:p>
        </w:tc>
        <w:tc>
          <w:tcPr>
            <w:tcW w:w="6663" w:type="dxa"/>
            <w:tcBorders>
              <w:top w:val="single" w:sz="4" w:space="0" w:color="auto"/>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b/>
                <w:bCs/>
                <w:sz w:val="20"/>
                <w:szCs w:val="20"/>
                <w:lang w:eastAsia="en-GB"/>
              </w:rPr>
              <w:t>Total current liabilities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(12,509)</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(11,525)</w:t>
            </w: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b/>
                <w:b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b/>
                <w:bCs/>
                <w:sz w:val="20"/>
                <w:szCs w:val="20"/>
                <w:lang w:eastAsia="en-GB"/>
              </w:rPr>
              <w:t>Non-current liabilities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7049AF">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Interest</w:t>
            </w:r>
            <w:r>
              <w:rPr>
                <w:rFonts w:ascii="Arial" w:eastAsia="Times New Roman" w:hAnsi="Arial" w:cs="Arial"/>
                <w:sz w:val="20"/>
                <w:szCs w:val="20"/>
                <w:lang w:eastAsia="en-GB"/>
              </w:rPr>
              <w:t>-</w:t>
            </w:r>
            <w:r w:rsidRPr="002A24CC">
              <w:rPr>
                <w:rFonts w:ascii="Arial" w:eastAsia="Times New Roman" w:hAnsi="Arial" w:cs="Arial"/>
                <w:sz w:val="20"/>
                <w:szCs w:val="20"/>
                <w:lang w:eastAsia="en-GB"/>
              </w:rPr>
              <w:t>bearing loans and borrowings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(5,061)</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(6,139)</w:t>
            </w: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Employee benefits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(2,480)</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(2,584)</w:t>
            </w: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Deferred tax liabilities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(1,639)</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(1,694)</w:t>
            </w: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bottom w:val="single" w:sz="4" w:space="0" w:color="auto"/>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 </w:t>
            </w:r>
          </w:p>
        </w:tc>
        <w:tc>
          <w:tcPr>
            <w:tcW w:w="1701" w:type="dxa"/>
            <w:tcBorders>
              <w:top w:val="nil"/>
              <w:left w:val="nil"/>
              <w:bottom w:val="single" w:sz="4" w:space="0" w:color="auto"/>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 </w:t>
            </w:r>
          </w:p>
        </w:tc>
        <w:tc>
          <w:tcPr>
            <w:tcW w:w="1418" w:type="dxa"/>
            <w:tcBorders>
              <w:top w:val="nil"/>
              <w:left w:val="nil"/>
              <w:bottom w:val="single" w:sz="4" w:space="0" w:color="auto"/>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single" w:sz="4" w:space="0" w:color="auto"/>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Total non-current liabilities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(9,180)</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(10,417)</w:t>
            </w: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b/>
                <w:bCs/>
                <w:sz w:val="16"/>
                <w:szCs w:val="16"/>
                <w:lang w:eastAsia="en-GB"/>
              </w:rPr>
            </w:pPr>
          </w:p>
        </w:tc>
        <w:tc>
          <w:tcPr>
            <w:tcW w:w="6663" w:type="dxa"/>
            <w:tcBorders>
              <w:top w:val="nil"/>
              <w:left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b/>
                <w:bCs/>
                <w:sz w:val="20"/>
                <w:szCs w:val="20"/>
                <w:lang w:eastAsia="en-GB"/>
              </w:rPr>
              <w:t>TOTAL LIABILITIES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(21,689)</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(21,942)</w:t>
            </w: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bottom w:val="single" w:sz="4" w:space="0" w:color="auto"/>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b/>
                <w:bCs/>
                <w:sz w:val="16"/>
                <w:szCs w:val="16"/>
                <w:lang w:eastAsia="en-GB"/>
              </w:rPr>
            </w:pPr>
          </w:p>
        </w:tc>
        <w:tc>
          <w:tcPr>
            <w:tcW w:w="6663" w:type="dxa"/>
            <w:tcBorders>
              <w:top w:val="single" w:sz="4" w:space="0" w:color="auto"/>
              <w:left w:val="nil"/>
              <w:bottom w:val="single" w:sz="4" w:space="0" w:color="auto"/>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b/>
                <w:bCs/>
                <w:sz w:val="20"/>
                <w:szCs w:val="20"/>
                <w:lang w:eastAsia="en-GB"/>
              </w:rPr>
            </w:pPr>
            <w:r w:rsidRPr="002A24CC">
              <w:rPr>
                <w:rFonts w:ascii="Arial" w:eastAsia="Times New Roman" w:hAnsi="Arial" w:cs="Arial"/>
                <w:b/>
                <w:bCs/>
                <w:sz w:val="20"/>
                <w:szCs w:val="20"/>
                <w:lang w:eastAsia="en-GB"/>
              </w:rPr>
              <w:t>Net assets</w:t>
            </w:r>
          </w:p>
        </w:tc>
        <w:tc>
          <w:tcPr>
            <w:tcW w:w="1701" w:type="dxa"/>
            <w:tcBorders>
              <w:top w:val="single" w:sz="4" w:space="0" w:color="auto"/>
              <w:left w:val="nil"/>
              <w:bottom w:val="single" w:sz="4" w:space="0" w:color="auto"/>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35,377</w:t>
            </w:r>
          </w:p>
        </w:tc>
        <w:tc>
          <w:tcPr>
            <w:tcW w:w="1418" w:type="dxa"/>
            <w:tcBorders>
              <w:top w:val="single" w:sz="4" w:space="0" w:color="auto"/>
              <w:left w:val="nil"/>
              <w:bottom w:val="single" w:sz="4" w:space="0" w:color="auto"/>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bCs/>
                <w:sz w:val="20"/>
                <w:szCs w:val="20"/>
                <w:lang w:eastAsia="en-GB"/>
              </w:rPr>
            </w:pPr>
            <w:r w:rsidRPr="00380ECD">
              <w:rPr>
                <w:rFonts w:ascii="Arial" w:eastAsia="Times New Roman" w:hAnsi="Arial" w:cs="Arial"/>
                <w:bCs/>
                <w:sz w:val="20"/>
                <w:szCs w:val="20"/>
                <w:lang w:eastAsia="en-GB"/>
              </w:rPr>
              <w:t>34,279</w:t>
            </w: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single" w:sz="4" w:space="0" w:color="auto"/>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i/>
                <w:iCs/>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i/>
                <w:iCs/>
                <w:sz w:val="20"/>
                <w:szCs w:val="20"/>
                <w:lang w:eastAsia="en-GB"/>
              </w:rPr>
            </w:pPr>
            <w:r w:rsidRPr="002A24CC">
              <w:rPr>
                <w:rFonts w:ascii="Arial" w:eastAsia="Times New Roman" w:hAnsi="Arial" w:cs="Arial"/>
                <w:sz w:val="20"/>
                <w:szCs w:val="20"/>
                <w:lang w:eastAsia="en-GB"/>
              </w:rPr>
              <w:t>Capital and reserves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Equity share capital</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1,243</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1,243</w:t>
            </w: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Share premium account</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17,447</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17,447</w:t>
            </w: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Other reserves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1,162</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1,162</w:t>
            </w: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bottom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Retained earnings</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14,839</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13,612</w:t>
            </w: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sz w:val="16"/>
                <w:szCs w:val="16"/>
                <w:lang w:eastAsia="en-GB"/>
              </w:rPr>
            </w:pPr>
          </w:p>
        </w:tc>
        <w:tc>
          <w:tcPr>
            <w:tcW w:w="6663" w:type="dxa"/>
            <w:tcBorders>
              <w:top w:val="nil"/>
              <w:left w:val="nil"/>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sz w:val="20"/>
                <w:szCs w:val="20"/>
                <w:lang w:eastAsia="en-GB"/>
              </w:rPr>
            </w:pPr>
            <w:r w:rsidRPr="002A24CC">
              <w:rPr>
                <w:rFonts w:ascii="Arial" w:eastAsia="Times New Roman" w:hAnsi="Arial" w:cs="Arial"/>
                <w:sz w:val="20"/>
                <w:szCs w:val="20"/>
                <w:lang w:eastAsia="en-GB"/>
              </w:rPr>
              <w:t>Financial assets fair value reserve</w:t>
            </w:r>
          </w:p>
        </w:tc>
        <w:tc>
          <w:tcPr>
            <w:tcW w:w="1701" w:type="dxa"/>
            <w:tcBorders>
              <w:top w:val="nil"/>
              <w:left w:val="nil"/>
              <w:bottom w:val="nil"/>
              <w:right w:val="nil"/>
            </w:tcBorders>
            <w:shd w:val="clear" w:color="auto" w:fill="auto"/>
            <w:noWrap/>
            <w:vAlign w:val="bottom"/>
          </w:tcPr>
          <w:p w:rsidR="00380ECD" w:rsidRPr="00DC654E" w:rsidRDefault="00380ECD" w:rsidP="00380ECD">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686</w:t>
            </w:r>
          </w:p>
        </w:tc>
        <w:tc>
          <w:tcPr>
            <w:tcW w:w="1418" w:type="dxa"/>
            <w:tcBorders>
              <w:top w:val="nil"/>
              <w:left w:val="nil"/>
              <w:bottom w:val="nil"/>
              <w:right w:val="nil"/>
            </w:tcBorders>
            <w:shd w:val="clear" w:color="auto" w:fill="auto"/>
            <w:noWrap/>
            <w:vAlign w:val="bottom"/>
          </w:tcPr>
          <w:p w:rsidR="00380ECD" w:rsidRPr="00380ECD" w:rsidRDefault="00380ECD" w:rsidP="004036E9">
            <w:pPr>
              <w:spacing w:after="0" w:line="240" w:lineRule="auto"/>
              <w:jc w:val="right"/>
              <w:rPr>
                <w:rFonts w:ascii="Arial" w:eastAsia="Times New Roman" w:hAnsi="Arial" w:cs="Arial"/>
                <w:sz w:val="20"/>
                <w:szCs w:val="20"/>
                <w:lang w:eastAsia="en-GB"/>
              </w:rPr>
            </w:pPr>
            <w:r w:rsidRPr="00380ECD">
              <w:rPr>
                <w:rFonts w:ascii="Arial" w:eastAsia="Times New Roman" w:hAnsi="Arial" w:cs="Arial"/>
                <w:sz w:val="20"/>
                <w:szCs w:val="20"/>
                <w:lang w:eastAsia="en-GB"/>
              </w:rPr>
              <w:t>815</w:t>
            </w:r>
          </w:p>
        </w:tc>
      </w:tr>
      <w:tr w:rsidR="00380ECD" w:rsidRPr="00453B28" w:rsidTr="00191DA8">
        <w:trPr>
          <w:trHeight w:val="57"/>
        </w:trPr>
        <w:tc>
          <w:tcPr>
            <w:tcW w:w="708" w:type="dxa"/>
            <w:tcBorders>
              <w:top w:val="nil"/>
              <w:left w:val="nil"/>
              <w:bottom w:val="nil"/>
              <w:right w:val="nil"/>
            </w:tcBorders>
            <w:vAlign w:val="bottom"/>
          </w:tcPr>
          <w:p w:rsidR="00380ECD" w:rsidRPr="002A24CC" w:rsidRDefault="00380ECD" w:rsidP="002A24CC">
            <w:pPr>
              <w:spacing w:after="0" w:line="240" w:lineRule="auto"/>
              <w:rPr>
                <w:rFonts w:ascii="Arial" w:eastAsia="Times New Roman" w:hAnsi="Arial" w:cs="Arial"/>
                <w:b/>
                <w:bCs/>
                <w:sz w:val="16"/>
                <w:szCs w:val="16"/>
                <w:lang w:eastAsia="en-GB"/>
              </w:rPr>
            </w:pPr>
          </w:p>
        </w:tc>
        <w:tc>
          <w:tcPr>
            <w:tcW w:w="6663" w:type="dxa"/>
            <w:tcBorders>
              <w:top w:val="single" w:sz="4" w:space="0" w:color="auto"/>
              <w:left w:val="nil"/>
              <w:bottom w:val="single" w:sz="4" w:space="0" w:color="auto"/>
              <w:right w:val="nil"/>
            </w:tcBorders>
            <w:shd w:val="clear" w:color="auto" w:fill="auto"/>
            <w:noWrap/>
            <w:vAlign w:val="bottom"/>
          </w:tcPr>
          <w:p w:rsidR="00380ECD" w:rsidRPr="002A24CC" w:rsidRDefault="00380ECD" w:rsidP="00EF5725">
            <w:pPr>
              <w:spacing w:after="0" w:line="240" w:lineRule="auto"/>
              <w:rPr>
                <w:rFonts w:ascii="Arial" w:eastAsia="Times New Roman" w:hAnsi="Arial" w:cs="Arial"/>
                <w:b/>
                <w:bCs/>
                <w:sz w:val="20"/>
                <w:szCs w:val="20"/>
                <w:lang w:eastAsia="en-GB"/>
              </w:rPr>
            </w:pPr>
            <w:r w:rsidRPr="002A24CC">
              <w:rPr>
                <w:rFonts w:ascii="Arial" w:eastAsia="Times New Roman" w:hAnsi="Arial" w:cs="Arial"/>
                <w:b/>
                <w:bCs/>
                <w:sz w:val="20"/>
                <w:szCs w:val="20"/>
                <w:lang w:eastAsia="en-GB"/>
              </w:rPr>
              <w:t>Total equity</w:t>
            </w:r>
          </w:p>
        </w:tc>
        <w:tc>
          <w:tcPr>
            <w:tcW w:w="1701" w:type="dxa"/>
            <w:tcBorders>
              <w:top w:val="single" w:sz="4" w:space="0" w:color="auto"/>
              <w:left w:val="nil"/>
              <w:bottom w:val="single" w:sz="4" w:space="0" w:color="auto"/>
              <w:right w:val="nil"/>
            </w:tcBorders>
            <w:shd w:val="clear" w:color="auto" w:fill="auto"/>
            <w:noWrap/>
            <w:vAlign w:val="bottom"/>
          </w:tcPr>
          <w:p w:rsidR="00380ECD" w:rsidRPr="00DC654E" w:rsidRDefault="00380ECD" w:rsidP="00DC654E">
            <w:pPr>
              <w:spacing w:after="0" w:line="240" w:lineRule="auto"/>
              <w:jc w:val="right"/>
              <w:rPr>
                <w:rFonts w:ascii="Arial" w:eastAsia="Times New Roman" w:hAnsi="Arial" w:cs="Arial"/>
                <w:b/>
                <w:sz w:val="20"/>
                <w:szCs w:val="20"/>
                <w:lang w:eastAsia="en-GB"/>
              </w:rPr>
            </w:pPr>
            <w:r w:rsidRPr="00DC654E">
              <w:rPr>
                <w:rFonts w:ascii="Arial" w:eastAsia="Times New Roman" w:hAnsi="Arial" w:cs="Arial"/>
                <w:b/>
                <w:sz w:val="20"/>
                <w:szCs w:val="20"/>
                <w:lang w:eastAsia="en-GB"/>
              </w:rPr>
              <w:t>35,377</w:t>
            </w:r>
          </w:p>
        </w:tc>
        <w:tc>
          <w:tcPr>
            <w:tcW w:w="1418" w:type="dxa"/>
            <w:tcBorders>
              <w:top w:val="single" w:sz="4" w:space="0" w:color="auto"/>
              <w:left w:val="nil"/>
              <w:bottom w:val="single" w:sz="4" w:space="0" w:color="auto"/>
              <w:right w:val="nil"/>
            </w:tcBorders>
            <w:shd w:val="clear" w:color="auto" w:fill="auto"/>
            <w:noWrap/>
            <w:vAlign w:val="bottom"/>
          </w:tcPr>
          <w:p w:rsidR="00380ECD" w:rsidRPr="00DC654E" w:rsidRDefault="00380ECD" w:rsidP="00DC654E">
            <w:pPr>
              <w:spacing w:after="0" w:line="240" w:lineRule="auto"/>
              <w:jc w:val="right"/>
              <w:rPr>
                <w:rFonts w:ascii="Arial" w:eastAsia="Times New Roman" w:hAnsi="Arial" w:cs="Arial"/>
                <w:sz w:val="20"/>
                <w:szCs w:val="20"/>
                <w:lang w:eastAsia="en-GB"/>
              </w:rPr>
            </w:pPr>
            <w:r w:rsidRPr="00DC654E">
              <w:rPr>
                <w:rFonts w:ascii="Arial" w:eastAsia="Times New Roman" w:hAnsi="Arial" w:cs="Arial"/>
                <w:sz w:val="20"/>
                <w:szCs w:val="20"/>
                <w:lang w:eastAsia="en-GB"/>
              </w:rPr>
              <w:t>34,279</w:t>
            </w:r>
          </w:p>
        </w:tc>
      </w:tr>
      <w:tr w:rsidR="00AB2944" w:rsidRPr="002A24CC" w:rsidTr="00191DA8">
        <w:trPr>
          <w:trHeight w:val="57"/>
        </w:trPr>
        <w:tc>
          <w:tcPr>
            <w:tcW w:w="708" w:type="dxa"/>
            <w:tcBorders>
              <w:top w:val="nil"/>
              <w:left w:val="nil"/>
              <w:bottom w:val="nil"/>
              <w:right w:val="nil"/>
            </w:tcBorders>
            <w:vAlign w:val="bottom"/>
          </w:tcPr>
          <w:p w:rsidR="00AB2944" w:rsidRPr="002A24CC" w:rsidRDefault="00AB2944" w:rsidP="002A24CC">
            <w:pPr>
              <w:spacing w:after="0" w:line="240" w:lineRule="auto"/>
              <w:rPr>
                <w:rFonts w:ascii="Arial" w:eastAsia="Times New Roman" w:hAnsi="Arial" w:cs="Arial"/>
                <w:sz w:val="16"/>
                <w:szCs w:val="16"/>
                <w:lang w:eastAsia="en-GB"/>
              </w:rPr>
            </w:pPr>
          </w:p>
        </w:tc>
        <w:tc>
          <w:tcPr>
            <w:tcW w:w="6663" w:type="dxa"/>
            <w:tcBorders>
              <w:top w:val="single" w:sz="4" w:space="0" w:color="auto"/>
              <w:left w:val="nil"/>
              <w:bottom w:val="nil"/>
              <w:right w:val="nil"/>
            </w:tcBorders>
            <w:shd w:val="clear" w:color="auto" w:fill="auto"/>
            <w:noWrap/>
            <w:vAlign w:val="bottom"/>
          </w:tcPr>
          <w:p w:rsidR="00AB2944" w:rsidRPr="002A24CC" w:rsidRDefault="00AB2944" w:rsidP="00EF5725">
            <w:pPr>
              <w:spacing w:after="0" w:line="240" w:lineRule="auto"/>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bottom"/>
          </w:tcPr>
          <w:p w:rsidR="00AB2944" w:rsidRPr="002A24CC" w:rsidRDefault="00AB2944" w:rsidP="00AE2E98">
            <w:pPr>
              <w:spacing w:after="0" w:line="240" w:lineRule="auto"/>
              <w:jc w:val="right"/>
              <w:rPr>
                <w:rFonts w:ascii="Arial" w:eastAsia="Times New Roman" w:hAnsi="Arial" w:cs="Arial"/>
                <w:b/>
                <w:bCs/>
                <w:sz w:val="20"/>
                <w:szCs w:val="20"/>
                <w:lang w:eastAsia="en-GB"/>
              </w:rPr>
            </w:pPr>
          </w:p>
        </w:tc>
        <w:tc>
          <w:tcPr>
            <w:tcW w:w="1418" w:type="dxa"/>
            <w:tcBorders>
              <w:top w:val="nil"/>
              <w:left w:val="nil"/>
              <w:bottom w:val="nil"/>
              <w:right w:val="nil"/>
            </w:tcBorders>
            <w:shd w:val="clear" w:color="auto" w:fill="auto"/>
            <w:noWrap/>
            <w:vAlign w:val="bottom"/>
          </w:tcPr>
          <w:p w:rsidR="00AB2944" w:rsidRPr="002A24CC" w:rsidRDefault="00AB2944" w:rsidP="00AE2E98">
            <w:pPr>
              <w:spacing w:after="0" w:line="240" w:lineRule="auto"/>
              <w:jc w:val="right"/>
              <w:rPr>
                <w:rFonts w:ascii="Arial" w:eastAsia="Times New Roman" w:hAnsi="Arial" w:cs="Arial"/>
                <w:sz w:val="20"/>
                <w:szCs w:val="20"/>
                <w:lang w:eastAsia="en-GB"/>
              </w:rPr>
            </w:pPr>
          </w:p>
        </w:tc>
      </w:tr>
    </w:tbl>
    <w:p w:rsidR="00DC654E" w:rsidRDefault="00DC654E">
      <w:pPr>
        <w:spacing w:after="0" w:line="240" w:lineRule="auto"/>
        <w:rPr>
          <w:sz w:val="16"/>
          <w:szCs w:val="16"/>
        </w:rPr>
      </w:pPr>
      <w:r>
        <w:rPr>
          <w:sz w:val="16"/>
          <w:szCs w:val="16"/>
        </w:rPr>
        <w:br w:type="page"/>
      </w:r>
    </w:p>
    <w:p w:rsidR="001D6E1D" w:rsidRDefault="001D6E1D">
      <w:pPr>
        <w:rPr>
          <w:sz w:val="16"/>
          <w:szCs w:val="16"/>
        </w:rPr>
      </w:pPr>
    </w:p>
    <w:tbl>
      <w:tblPr>
        <w:tblW w:w="10652" w:type="dxa"/>
        <w:tblInd w:w="108" w:type="dxa"/>
        <w:tblLook w:val="04A0" w:firstRow="1" w:lastRow="0" w:firstColumn="1" w:lastColumn="0" w:noHBand="0" w:noVBand="1"/>
      </w:tblPr>
      <w:tblGrid>
        <w:gridCol w:w="683"/>
        <w:gridCol w:w="7114"/>
        <w:gridCol w:w="1216"/>
        <w:gridCol w:w="1639"/>
      </w:tblGrid>
      <w:tr w:rsidR="006B6CE9" w:rsidRPr="00CF1960">
        <w:trPr>
          <w:trHeight w:val="53"/>
        </w:trPr>
        <w:tc>
          <w:tcPr>
            <w:tcW w:w="10652" w:type="dxa"/>
            <w:gridSpan w:val="4"/>
            <w:tcBorders>
              <w:top w:val="nil"/>
              <w:left w:val="nil"/>
              <w:bottom w:val="nil"/>
              <w:right w:val="nil"/>
            </w:tcBorders>
            <w:shd w:val="clear" w:color="auto" w:fill="auto"/>
            <w:noWrap/>
            <w:vAlign w:val="bottom"/>
          </w:tcPr>
          <w:p w:rsidR="006B6CE9" w:rsidRPr="002E5564" w:rsidRDefault="006B6CE9" w:rsidP="004B7139">
            <w:pPr>
              <w:spacing w:after="0" w:line="240" w:lineRule="auto"/>
              <w:rPr>
                <w:rFonts w:ascii="Arial" w:eastAsia="Times New Roman" w:hAnsi="Arial" w:cs="Arial"/>
                <w:sz w:val="24"/>
                <w:szCs w:val="24"/>
                <w:lang w:eastAsia="en-GB"/>
              </w:rPr>
            </w:pPr>
            <w:r w:rsidRPr="002E5564">
              <w:rPr>
                <w:sz w:val="24"/>
                <w:szCs w:val="24"/>
              </w:rPr>
              <w:br w:type="page"/>
            </w:r>
            <w:r w:rsidRPr="002E5564">
              <w:rPr>
                <w:rFonts w:ascii="Arial" w:eastAsia="Times New Roman" w:hAnsi="Arial" w:cs="Arial"/>
                <w:b/>
                <w:bCs/>
                <w:sz w:val="24"/>
                <w:szCs w:val="24"/>
                <w:lang w:eastAsia="en-GB"/>
              </w:rPr>
              <w:t>Consolidated Cash Flow Statement</w:t>
            </w:r>
          </w:p>
        </w:tc>
      </w:tr>
      <w:tr w:rsidR="006B6CE9" w:rsidRPr="00A01EA0">
        <w:trPr>
          <w:trHeight w:val="53"/>
        </w:trPr>
        <w:tc>
          <w:tcPr>
            <w:tcW w:w="10652" w:type="dxa"/>
            <w:gridSpan w:val="4"/>
            <w:tcBorders>
              <w:top w:val="nil"/>
              <w:left w:val="nil"/>
              <w:bottom w:val="nil"/>
              <w:right w:val="nil"/>
            </w:tcBorders>
            <w:shd w:val="clear" w:color="auto" w:fill="auto"/>
            <w:noWrap/>
            <w:vAlign w:val="bottom"/>
          </w:tcPr>
          <w:p w:rsidR="006B6CE9" w:rsidRPr="002E5564" w:rsidRDefault="006B6CE9" w:rsidP="00EF5725">
            <w:pPr>
              <w:spacing w:after="0" w:line="240" w:lineRule="auto"/>
              <w:rPr>
                <w:rFonts w:ascii="Arial" w:eastAsia="Times New Roman" w:hAnsi="Arial" w:cs="Arial"/>
                <w:sz w:val="24"/>
                <w:szCs w:val="24"/>
                <w:lang w:eastAsia="en-GB"/>
              </w:rPr>
            </w:pPr>
            <w:r w:rsidRPr="002E5564">
              <w:rPr>
                <w:rFonts w:ascii="Arial" w:eastAsia="Times New Roman" w:hAnsi="Arial" w:cs="Arial"/>
                <w:b/>
                <w:bCs/>
                <w:sz w:val="20"/>
                <w:szCs w:val="24"/>
                <w:lang w:eastAsia="en-GB"/>
              </w:rPr>
              <w:t xml:space="preserve">FOR THE YEAR ENDED 31 MARCH </w:t>
            </w:r>
            <w:r w:rsidR="00ED600C" w:rsidRPr="002E5564">
              <w:rPr>
                <w:rFonts w:ascii="Arial" w:eastAsia="Times New Roman" w:hAnsi="Arial" w:cs="Arial"/>
                <w:b/>
                <w:bCs/>
                <w:sz w:val="20"/>
                <w:szCs w:val="24"/>
                <w:lang w:eastAsia="en-GB"/>
              </w:rPr>
              <w:t>2014</w:t>
            </w: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i/>
                <w:iCs/>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1216" w:type="dxa"/>
            <w:tcBorders>
              <w:top w:val="nil"/>
              <w:left w:val="nil"/>
              <w:bottom w:val="nil"/>
              <w:right w:val="nil"/>
            </w:tcBorders>
            <w:shd w:val="clear" w:color="auto" w:fill="auto"/>
            <w:noWrap/>
            <w:vAlign w:val="bottom"/>
          </w:tcPr>
          <w:p w:rsidR="00ED600C" w:rsidRPr="002E5564" w:rsidRDefault="00ED600C" w:rsidP="00EF5725">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2014</w:t>
            </w: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2013</w:t>
            </w: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single" w:sz="4" w:space="0" w:color="auto"/>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1216" w:type="dxa"/>
            <w:tcBorders>
              <w:top w:val="nil"/>
              <w:left w:val="nil"/>
              <w:bottom w:val="single" w:sz="4" w:space="0" w:color="auto"/>
              <w:right w:val="nil"/>
            </w:tcBorders>
            <w:shd w:val="clear" w:color="auto" w:fill="auto"/>
            <w:noWrap/>
            <w:vAlign w:val="bottom"/>
          </w:tcPr>
          <w:p w:rsidR="00ED600C" w:rsidRPr="002E5564" w:rsidRDefault="00ED600C" w:rsidP="00EF5725">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£'000</w:t>
            </w:r>
          </w:p>
        </w:tc>
        <w:tc>
          <w:tcPr>
            <w:tcW w:w="1639" w:type="dxa"/>
            <w:tcBorders>
              <w:top w:val="nil"/>
              <w:left w:val="nil"/>
              <w:bottom w:val="single" w:sz="4" w:space="0" w:color="auto"/>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£'000</w:t>
            </w: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Cash flows from operating activities</w:t>
            </w:r>
          </w:p>
        </w:tc>
        <w:tc>
          <w:tcPr>
            <w:tcW w:w="1216" w:type="dxa"/>
            <w:tcBorders>
              <w:top w:val="nil"/>
              <w:left w:val="nil"/>
              <w:bottom w:val="nil"/>
              <w:right w:val="nil"/>
            </w:tcBorders>
            <w:shd w:val="clear" w:color="auto" w:fill="auto"/>
            <w:noWrap/>
            <w:vAlign w:val="bottom"/>
          </w:tcPr>
          <w:p w:rsidR="00ED600C" w:rsidRPr="002E5564" w:rsidRDefault="00ED600C" w:rsidP="00EF5725">
            <w:pPr>
              <w:spacing w:after="0" w:line="240" w:lineRule="auto"/>
              <w:jc w:val="right"/>
              <w:rPr>
                <w:rFonts w:ascii="Arial" w:eastAsia="Times New Roman" w:hAnsi="Arial" w:cs="Arial"/>
                <w:b/>
                <w:sz w:val="20"/>
                <w:szCs w:val="20"/>
                <w:lang w:eastAsia="en-GB"/>
              </w:rPr>
            </w:pP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r w:rsidRPr="002E5564">
              <w:rPr>
                <w:rFonts w:ascii="Arial" w:eastAsia="Times New Roman" w:hAnsi="Arial" w:cs="Arial"/>
                <w:b/>
                <w:bCs/>
                <w:sz w:val="20"/>
                <w:szCs w:val="20"/>
                <w:lang w:eastAsia="en-GB"/>
              </w:rPr>
              <w:t>Profit for the year</w:t>
            </w:r>
          </w:p>
        </w:tc>
        <w:tc>
          <w:tcPr>
            <w:tcW w:w="1216" w:type="dxa"/>
            <w:tcBorders>
              <w:top w:val="nil"/>
              <w:left w:val="nil"/>
              <w:bottom w:val="nil"/>
              <w:right w:val="nil"/>
            </w:tcBorders>
            <w:shd w:val="clear" w:color="auto" w:fill="auto"/>
            <w:noWrap/>
            <w:vAlign w:val="bottom"/>
          </w:tcPr>
          <w:p w:rsidR="00ED600C" w:rsidRPr="002E5564" w:rsidRDefault="00ED600C" w:rsidP="00DD3B38">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2,633</w:t>
            </w: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1,604</w:t>
            </w: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r w:rsidRPr="002E5564">
              <w:rPr>
                <w:rFonts w:ascii="Arial" w:eastAsia="Times New Roman" w:hAnsi="Arial" w:cs="Arial"/>
                <w:i/>
                <w:iCs/>
                <w:sz w:val="20"/>
                <w:szCs w:val="20"/>
                <w:lang w:eastAsia="en-GB"/>
              </w:rPr>
              <w:t>Adjusted for:</w:t>
            </w:r>
          </w:p>
        </w:tc>
        <w:tc>
          <w:tcPr>
            <w:tcW w:w="1216" w:type="dxa"/>
            <w:tcBorders>
              <w:top w:val="nil"/>
              <w:left w:val="nil"/>
              <w:bottom w:val="nil"/>
              <w:right w:val="nil"/>
            </w:tcBorders>
            <w:shd w:val="clear" w:color="auto" w:fill="auto"/>
            <w:noWrap/>
            <w:vAlign w:val="bottom"/>
          </w:tcPr>
          <w:p w:rsidR="00ED600C" w:rsidRPr="002E5564" w:rsidRDefault="00ED600C" w:rsidP="00DD3B38">
            <w:pPr>
              <w:spacing w:after="0" w:line="240" w:lineRule="auto"/>
              <w:jc w:val="right"/>
              <w:rPr>
                <w:rFonts w:ascii="Arial" w:eastAsia="Times New Roman" w:hAnsi="Arial" w:cs="Arial"/>
                <w:b/>
                <w:sz w:val="20"/>
                <w:szCs w:val="20"/>
                <w:lang w:eastAsia="en-GB"/>
              </w:rPr>
            </w:pP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r w:rsidRPr="002E5564">
              <w:rPr>
                <w:rFonts w:ascii="Arial" w:eastAsia="Times New Roman" w:hAnsi="Arial" w:cs="Arial"/>
                <w:i/>
                <w:iCs/>
                <w:sz w:val="20"/>
                <w:szCs w:val="20"/>
                <w:lang w:eastAsia="en-GB"/>
              </w:rPr>
              <w:t>(</w:t>
            </w:r>
            <w:proofErr w:type="spellStart"/>
            <w:r w:rsidRPr="002E5564">
              <w:rPr>
                <w:rFonts w:ascii="Arial" w:eastAsia="Times New Roman" w:hAnsi="Arial" w:cs="Arial"/>
                <w:i/>
                <w:iCs/>
                <w:sz w:val="20"/>
                <w:szCs w:val="20"/>
                <w:lang w:eastAsia="en-GB"/>
              </w:rPr>
              <w:t>i</w:t>
            </w:r>
            <w:proofErr w:type="spellEnd"/>
            <w:r w:rsidRPr="002E5564">
              <w:rPr>
                <w:rFonts w:ascii="Arial" w:eastAsia="Times New Roman" w:hAnsi="Arial" w:cs="Arial"/>
                <w:i/>
                <w:iCs/>
                <w:sz w:val="20"/>
                <w:szCs w:val="20"/>
                <w:lang w:eastAsia="en-GB"/>
              </w:rPr>
              <w:t>)  Non-cash items:</w:t>
            </w:r>
          </w:p>
        </w:tc>
        <w:tc>
          <w:tcPr>
            <w:tcW w:w="1216" w:type="dxa"/>
            <w:tcBorders>
              <w:top w:val="nil"/>
              <w:left w:val="nil"/>
              <w:bottom w:val="nil"/>
              <w:right w:val="nil"/>
            </w:tcBorders>
            <w:shd w:val="clear" w:color="auto" w:fill="auto"/>
            <w:noWrap/>
            <w:vAlign w:val="bottom"/>
          </w:tcPr>
          <w:p w:rsidR="00ED600C" w:rsidRPr="002E5564" w:rsidRDefault="00ED600C" w:rsidP="00DD3B38">
            <w:pPr>
              <w:spacing w:after="0" w:line="240" w:lineRule="auto"/>
              <w:jc w:val="right"/>
              <w:rPr>
                <w:rFonts w:ascii="Arial" w:eastAsia="Times New Roman" w:hAnsi="Arial" w:cs="Arial"/>
                <w:b/>
                <w:sz w:val="20"/>
                <w:szCs w:val="20"/>
                <w:lang w:eastAsia="en-GB"/>
              </w:rPr>
            </w:pP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 xml:space="preserve">Depreciation </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1,</w:t>
            </w:r>
            <w:r w:rsidR="003A44CF" w:rsidRPr="002E5564">
              <w:rPr>
                <w:rFonts w:ascii="Arial" w:eastAsia="Times New Roman" w:hAnsi="Arial" w:cs="Arial"/>
                <w:b/>
                <w:sz w:val="20"/>
                <w:szCs w:val="20"/>
                <w:lang w:eastAsia="en-GB"/>
              </w:rPr>
              <w:t>116</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1,204</w:t>
            </w:r>
          </w:p>
        </w:tc>
      </w:tr>
      <w:tr w:rsidR="00380ECD" w:rsidRPr="00C15E0A" w:rsidTr="00ED600C">
        <w:trPr>
          <w:trHeight w:val="53"/>
        </w:trPr>
        <w:tc>
          <w:tcPr>
            <w:tcW w:w="683" w:type="dxa"/>
            <w:tcBorders>
              <w:top w:val="nil"/>
              <w:left w:val="nil"/>
              <w:bottom w:val="nil"/>
              <w:right w:val="nil"/>
            </w:tcBorders>
            <w:shd w:val="clear" w:color="auto" w:fill="auto"/>
            <w:noWrap/>
            <w:vAlign w:val="bottom"/>
          </w:tcPr>
          <w:p w:rsidR="00380ECD" w:rsidRPr="002E5564" w:rsidRDefault="00380ECD" w:rsidP="00ED600C">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D600C">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Depreciation of computer software</w:t>
            </w:r>
          </w:p>
        </w:tc>
        <w:tc>
          <w:tcPr>
            <w:tcW w:w="1216" w:type="dxa"/>
            <w:tcBorders>
              <w:top w:val="nil"/>
              <w:left w:val="nil"/>
              <w:bottom w:val="nil"/>
              <w:right w:val="nil"/>
            </w:tcBorders>
            <w:shd w:val="clear" w:color="auto" w:fill="auto"/>
            <w:noWrap/>
            <w:vAlign w:val="bottom"/>
          </w:tcPr>
          <w:p w:rsidR="00380ECD" w:rsidRPr="002E5564" w:rsidRDefault="003A44CF"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117</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Amortisation</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307</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398</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DD3B38">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D600C">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(Profit) / loss on disposal of fixed assets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(4)</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56</w:t>
            </w:r>
          </w:p>
        </w:tc>
      </w:tr>
      <w:tr w:rsidR="00380ECD" w:rsidRPr="00C15E0A" w:rsidTr="00ED600C">
        <w:trPr>
          <w:trHeight w:val="53"/>
        </w:trPr>
        <w:tc>
          <w:tcPr>
            <w:tcW w:w="683" w:type="dxa"/>
            <w:tcBorders>
              <w:top w:val="nil"/>
              <w:left w:val="nil"/>
              <w:bottom w:val="nil"/>
              <w:right w:val="nil"/>
            </w:tcBorders>
            <w:shd w:val="clear" w:color="auto" w:fill="auto"/>
            <w:noWrap/>
            <w:vAlign w:val="bottom"/>
          </w:tcPr>
          <w:p w:rsidR="00380ECD" w:rsidRPr="002E5564" w:rsidRDefault="00380ECD" w:rsidP="00ED600C">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D600C">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Share of Joint Venture profit</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(36)</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Amortisation of loan fees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16</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16</w:t>
            </w:r>
          </w:p>
        </w:tc>
      </w:tr>
      <w:tr w:rsidR="00380ECD" w:rsidRPr="00C15E0A" w:rsidTr="00860682">
        <w:trPr>
          <w:trHeight w:val="88"/>
        </w:trPr>
        <w:tc>
          <w:tcPr>
            <w:tcW w:w="683" w:type="dxa"/>
            <w:tcBorders>
              <w:top w:val="nil"/>
              <w:left w:val="nil"/>
              <w:bottom w:val="nil"/>
              <w:right w:val="nil"/>
            </w:tcBorders>
            <w:shd w:val="clear" w:color="auto" w:fill="auto"/>
            <w:noWrap/>
            <w:vAlign w:val="bottom"/>
          </w:tcPr>
          <w:p w:rsidR="00380ECD" w:rsidRPr="002E5564" w:rsidRDefault="00380ECD" w:rsidP="004036E9">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4036E9">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Past service cost of pension scheme</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45</w:t>
            </w:r>
          </w:p>
        </w:tc>
        <w:tc>
          <w:tcPr>
            <w:tcW w:w="1639" w:type="dxa"/>
            <w:tcBorders>
              <w:top w:val="nil"/>
              <w:left w:val="nil"/>
              <w:bottom w:val="nil"/>
              <w:right w:val="nil"/>
            </w:tcBorders>
            <w:shd w:val="clear" w:color="auto" w:fill="auto"/>
            <w:noWrap/>
            <w:vAlign w:val="bottom"/>
          </w:tcPr>
          <w:p w:rsidR="00380ECD" w:rsidRPr="002E5564" w:rsidRDefault="00380ECD" w:rsidP="004036E9">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Expected return on pension scheme assets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(2)</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Interest cost on pension scheme liabilities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108</w:t>
            </w:r>
          </w:p>
        </w:tc>
        <w:tc>
          <w:tcPr>
            <w:tcW w:w="1639"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111</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single" w:sz="4" w:space="0" w:color="auto"/>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Equity-settled share-based payment expenses</w:t>
            </w:r>
          </w:p>
        </w:tc>
        <w:tc>
          <w:tcPr>
            <w:tcW w:w="1216" w:type="dxa"/>
            <w:tcBorders>
              <w:top w:val="nil"/>
              <w:left w:val="nil"/>
              <w:bottom w:val="single" w:sz="4" w:space="0" w:color="auto"/>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43</w:t>
            </w:r>
          </w:p>
        </w:tc>
        <w:tc>
          <w:tcPr>
            <w:tcW w:w="1639" w:type="dxa"/>
            <w:tcBorders>
              <w:top w:val="nil"/>
              <w:left w:val="nil"/>
              <w:bottom w:val="single" w:sz="4" w:space="0" w:color="auto"/>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134</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i/>
                <w:iCs/>
                <w:sz w:val="20"/>
                <w:szCs w:val="20"/>
                <w:lang w:eastAsia="en-GB"/>
              </w:rPr>
              <w:t>Non-cash items adjustment</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1,712</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1,917</w:t>
            </w: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r w:rsidRPr="002E5564">
              <w:rPr>
                <w:rFonts w:ascii="Arial" w:eastAsia="Times New Roman" w:hAnsi="Arial" w:cs="Arial"/>
                <w:i/>
                <w:iCs/>
                <w:sz w:val="20"/>
                <w:szCs w:val="20"/>
                <w:lang w:eastAsia="en-GB"/>
              </w:rPr>
              <w:t>(ii) Other items:</w:t>
            </w:r>
          </w:p>
        </w:tc>
        <w:tc>
          <w:tcPr>
            <w:tcW w:w="1216" w:type="dxa"/>
            <w:tcBorders>
              <w:top w:val="nil"/>
              <w:left w:val="nil"/>
              <w:bottom w:val="nil"/>
              <w:right w:val="nil"/>
            </w:tcBorders>
            <w:shd w:val="clear" w:color="auto" w:fill="auto"/>
            <w:noWrap/>
            <w:vAlign w:val="bottom"/>
          </w:tcPr>
          <w:p w:rsidR="00ED600C" w:rsidRPr="002E5564" w:rsidRDefault="00ED600C" w:rsidP="00DD3B38">
            <w:pPr>
              <w:spacing w:after="0" w:line="240" w:lineRule="auto"/>
              <w:jc w:val="right"/>
              <w:rPr>
                <w:rFonts w:ascii="Arial" w:eastAsia="Times New Roman" w:hAnsi="Arial" w:cs="Arial"/>
                <w:b/>
                <w:sz w:val="20"/>
                <w:szCs w:val="20"/>
                <w:lang w:eastAsia="en-GB"/>
              </w:rPr>
            </w:pP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Bank interest receivable</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(99)</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(164)</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Bank interest payable</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39</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85</w:t>
            </w:r>
          </w:p>
        </w:tc>
      </w:tr>
      <w:tr w:rsidR="00380ECD" w:rsidRPr="00C15E0A" w:rsidTr="004036E9">
        <w:trPr>
          <w:trHeight w:val="53"/>
        </w:trPr>
        <w:tc>
          <w:tcPr>
            <w:tcW w:w="683" w:type="dxa"/>
            <w:tcBorders>
              <w:top w:val="nil"/>
              <w:left w:val="nil"/>
              <w:bottom w:val="nil"/>
              <w:right w:val="nil"/>
            </w:tcBorders>
            <w:shd w:val="clear" w:color="auto" w:fill="auto"/>
            <w:noWrap/>
            <w:vAlign w:val="bottom"/>
          </w:tcPr>
          <w:p w:rsidR="00380ECD" w:rsidRPr="002E5564" w:rsidRDefault="00380ECD" w:rsidP="004036E9">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4036E9">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Finance lease interest payable</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262</w:t>
            </w:r>
          </w:p>
        </w:tc>
        <w:tc>
          <w:tcPr>
            <w:tcW w:w="1639" w:type="dxa"/>
            <w:tcBorders>
              <w:top w:val="nil"/>
              <w:left w:val="nil"/>
              <w:bottom w:val="nil"/>
              <w:right w:val="nil"/>
            </w:tcBorders>
            <w:shd w:val="clear" w:color="auto" w:fill="auto"/>
            <w:noWrap/>
            <w:vAlign w:val="bottom"/>
          </w:tcPr>
          <w:p w:rsidR="00380ECD" w:rsidRPr="002E5564" w:rsidRDefault="009C3F5C" w:rsidP="004036E9">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Gain on disposal of FOGL shares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(768)</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Fund raising expenses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682</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 xml:space="preserve">Net settlement </w:t>
            </w:r>
            <w:r w:rsidR="009C3F5C" w:rsidRPr="002E5564">
              <w:rPr>
                <w:rFonts w:ascii="Arial" w:eastAsia="Times New Roman" w:hAnsi="Arial" w:cs="Arial"/>
                <w:sz w:val="20"/>
                <w:szCs w:val="20"/>
                <w:lang w:eastAsia="en-GB"/>
              </w:rPr>
              <w:t xml:space="preserve">(gain) / </w:t>
            </w:r>
            <w:r w:rsidRPr="002E5564">
              <w:rPr>
                <w:rFonts w:ascii="Arial" w:eastAsia="Times New Roman" w:hAnsi="Arial" w:cs="Arial"/>
                <w:sz w:val="20"/>
                <w:szCs w:val="20"/>
                <w:lang w:eastAsia="en-GB"/>
              </w:rPr>
              <w:t>loss on the transfer of the PHFC pension scheme</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(64)</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182</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single" w:sz="4" w:space="0" w:color="auto"/>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Corporation and deferred tax expense</w:t>
            </w:r>
          </w:p>
        </w:tc>
        <w:tc>
          <w:tcPr>
            <w:tcW w:w="1216" w:type="dxa"/>
            <w:tcBorders>
              <w:top w:val="nil"/>
              <w:left w:val="nil"/>
              <w:bottom w:val="single" w:sz="4" w:space="0" w:color="auto"/>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771</w:t>
            </w:r>
          </w:p>
        </w:tc>
        <w:tc>
          <w:tcPr>
            <w:tcW w:w="1639" w:type="dxa"/>
            <w:tcBorders>
              <w:top w:val="nil"/>
              <w:left w:val="nil"/>
              <w:bottom w:val="single" w:sz="4" w:space="0" w:color="auto"/>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1,193</w:t>
            </w: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r w:rsidRPr="002E5564">
              <w:rPr>
                <w:rFonts w:ascii="Arial" w:eastAsia="Times New Roman" w:hAnsi="Arial" w:cs="Arial"/>
                <w:i/>
                <w:iCs/>
                <w:sz w:val="20"/>
                <w:szCs w:val="20"/>
                <w:lang w:eastAsia="en-GB"/>
              </w:rPr>
              <w:t>Other adjustments</w:t>
            </w:r>
          </w:p>
        </w:tc>
        <w:tc>
          <w:tcPr>
            <w:tcW w:w="1216" w:type="dxa"/>
            <w:tcBorders>
              <w:top w:val="nil"/>
              <w:left w:val="nil"/>
              <w:bottom w:val="nil"/>
              <w:right w:val="nil"/>
            </w:tcBorders>
            <w:shd w:val="clear" w:color="auto" w:fill="auto"/>
            <w:noWrap/>
            <w:vAlign w:val="bottom"/>
          </w:tcPr>
          <w:p w:rsidR="00ED600C" w:rsidRPr="002E5564" w:rsidRDefault="00380ECD" w:rsidP="00DD3B38">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909</w:t>
            </w: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1,210</w:t>
            </w: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1216" w:type="dxa"/>
            <w:tcBorders>
              <w:top w:val="nil"/>
              <w:left w:val="nil"/>
              <w:bottom w:val="nil"/>
              <w:right w:val="nil"/>
            </w:tcBorders>
            <w:shd w:val="clear" w:color="auto" w:fill="auto"/>
            <w:noWrap/>
            <w:vAlign w:val="bottom"/>
          </w:tcPr>
          <w:p w:rsidR="00ED600C" w:rsidRPr="002E5564" w:rsidRDefault="00ED600C" w:rsidP="00DD3B38">
            <w:pPr>
              <w:spacing w:after="0" w:line="240" w:lineRule="auto"/>
              <w:jc w:val="right"/>
              <w:rPr>
                <w:rFonts w:ascii="Arial" w:eastAsia="Times New Roman" w:hAnsi="Arial" w:cs="Arial"/>
                <w:b/>
                <w:sz w:val="20"/>
                <w:szCs w:val="20"/>
                <w:lang w:eastAsia="en-GB"/>
              </w:rPr>
            </w:pP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b/>
                <w:bCs/>
                <w:sz w:val="20"/>
                <w:szCs w:val="20"/>
                <w:lang w:eastAsia="en-GB"/>
              </w:rPr>
            </w:pPr>
            <w:r w:rsidRPr="002E5564">
              <w:rPr>
                <w:rFonts w:ascii="Arial" w:eastAsia="Times New Roman" w:hAnsi="Arial" w:cs="Arial"/>
                <w:b/>
                <w:bCs/>
                <w:sz w:val="20"/>
                <w:szCs w:val="20"/>
                <w:lang w:eastAsia="en-GB"/>
              </w:rPr>
              <w:t>Operating cash flow before changes in working capital and provisions</w:t>
            </w:r>
          </w:p>
        </w:tc>
        <w:tc>
          <w:tcPr>
            <w:tcW w:w="1216" w:type="dxa"/>
            <w:tcBorders>
              <w:top w:val="nil"/>
              <w:left w:val="nil"/>
              <w:bottom w:val="nil"/>
              <w:right w:val="nil"/>
            </w:tcBorders>
            <w:shd w:val="clear" w:color="auto" w:fill="auto"/>
            <w:noWrap/>
            <w:vAlign w:val="bottom"/>
          </w:tcPr>
          <w:p w:rsidR="00ED600C" w:rsidRPr="002E5564" w:rsidRDefault="00380ECD" w:rsidP="00DD3B38">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5,254</w:t>
            </w: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4,731</w:t>
            </w: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1216" w:type="dxa"/>
            <w:tcBorders>
              <w:top w:val="nil"/>
              <w:left w:val="nil"/>
              <w:bottom w:val="nil"/>
              <w:right w:val="nil"/>
            </w:tcBorders>
            <w:shd w:val="clear" w:color="auto" w:fill="auto"/>
            <w:noWrap/>
            <w:vAlign w:val="bottom"/>
          </w:tcPr>
          <w:p w:rsidR="00ED600C" w:rsidRPr="002E5564" w:rsidRDefault="00ED600C" w:rsidP="00DD3B38">
            <w:pPr>
              <w:spacing w:after="0" w:line="240" w:lineRule="auto"/>
              <w:jc w:val="right"/>
              <w:rPr>
                <w:rFonts w:ascii="Arial" w:eastAsia="Times New Roman" w:hAnsi="Arial" w:cs="Arial"/>
                <w:b/>
                <w:sz w:val="20"/>
                <w:szCs w:val="20"/>
                <w:lang w:eastAsia="en-GB"/>
              </w:rPr>
            </w:pP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p>
        </w:tc>
      </w:tr>
      <w:tr w:rsidR="00380ECD" w:rsidRPr="00380ECD">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380ECD">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Increase in trade and other receivables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(888)</w:t>
            </w:r>
          </w:p>
        </w:tc>
        <w:tc>
          <w:tcPr>
            <w:tcW w:w="1639"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(513)</w:t>
            </w:r>
          </w:p>
        </w:tc>
      </w:tr>
      <w:tr w:rsidR="00380ECD" w:rsidRPr="00380ECD">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380ECD">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Increase in inventories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(1,593)</w:t>
            </w:r>
          </w:p>
        </w:tc>
        <w:tc>
          <w:tcPr>
            <w:tcW w:w="1639"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(1,108)</w:t>
            </w:r>
          </w:p>
        </w:tc>
      </w:tr>
      <w:tr w:rsidR="00380ECD" w:rsidRPr="00380ECD">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380ECD">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Increase in trade and other payables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927</w:t>
            </w:r>
          </w:p>
        </w:tc>
        <w:tc>
          <w:tcPr>
            <w:tcW w:w="1639"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1,221</w:t>
            </w:r>
          </w:p>
        </w:tc>
      </w:tr>
      <w:tr w:rsidR="00380ECD" w:rsidRPr="00380ECD">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single" w:sz="4" w:space="0" w:color="auto"/>
              <w:right w:val="nil"/>
            </w:tcBorders>
            <w:shd w:val="clear" w:color="auto" w:fill="auto"/>
            <w:noWrap/>
            <w:vAlign w:val="bottom"/>
          </w:tcPr>
          <w:p w:rsidR="00380ECD" w:rsidRPr="002E5564" w:rsidRDefault="00380ECD" w:rsidP="00380ECD">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Decrease in provisions and employee benefits</w:t>
            </w:r>
          </w:p>
        </w:tc>
        <w:tc>
          <w:tcPr>
            <w:tcW w:w="1216" w:type="dxa"/>
            <w:tcBorders>
              <w:top w:val="nil"/>
              <w:left w:val="nil"/>
              <w:bottom w:val="single" w:sz="4" w:space="0" w:color="auto"/>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(122)</w:t>
            </w:r>
          </w:p>
        </w:tc>
        <w:tc>
          <w:tcPr>
            <w:tcW w:w="1639" w:type="dxa"/>
            <w:tcBorders>
              <w:top w:val="nil"/>
              <w:left w:val="nil"/>
              <w:bottom w:val="single" w:sz="4" w:space="0" w:color="auto"/>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(129)</w:t>
            </w:r>
          </w:p>
        </w:tc>
      </w:tr>
      <w:tr w:rsidR="00380ECD" w:rsidRPr="00380ECD">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Changes in working capital and provisions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(1,676)</w:t>
            </w:r>
          </w:p>
        </w:tc>
        <w:tc>
          <w:tcPr>
            <w:tcW w:w="1639"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(529)</w:t>
            </w:r>
          </w:p>
        </w:tc>
      </w:tr>
      <w:tr w:rsidR="00380ECD" w:rsidRPr="00380ECD">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tcPr>
          <w:p w:rsidR="00380ECD" w:rsidRPr="002E5564" w:rsidRDefault="00380ECD" w:rsidP="00380ECD">
            <w:pPr>
              <w:spacing w:after="0" w:line="240" w:lineRule="auto"/>
              <w:rPr>
                <w:rFonts w:ascii="Arial" w:eastAsia="Times New Roman" w:hAnsi="Arial" w:cs="Arial"/>
                <w:sz w:val="20"/>
                <w:szCs w:val="20"/>
                <w:lang w:eastAsia="en-GB"/>
              </w:rPr>
            </w:pP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b/>
                <w:bCs/>
                <w:sz w:val="20"/>
                <w:szCs w:val="20"/>
                <w:lang w:eastAsia="en-GB"/>
              </w:rPr>
              <w:t>Cash generated from operations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3,578</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4,202</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single" w:sz="4" w:space="0" w:color="auto"/>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Corporation taxes paid</w:t>
            </w:r>
          </w:p>
        </w:tc>
        <w:tc>
          <w:tcPr>
            <w:tcW w:w="1216" w:type="dxa"/>
            <w:tcBorders>
              <w:top w:val="nil"/>
              <w:left w:val="nil"/>
              <w:bottom w:val="single" w:sz="4" w:space="0" w:color="auto"/>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(780)</w:t>
            </w:r>
          </w:p>
        </w:tc>
        <w:tc>
          <w:tcPr>
            <w:tcW w:w="1639" w:type="dxa"/>
            <w:tcBorders>
              <w:top w:val="nil"/>
              <w:left w:val="nil"/>
              <w:bottom w:val="single" w:sz="4" w:space="0" w:color="auto"/>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(735)</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b/>
                <w:bCs/>
                <w:sz w:val="20"/>
                <w:szCs w:val="20"/>
                <w:lang w:eastAsia="en-GB"/>
              </w:rPr>
              <w:t>Net cash flow from operating activities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2,798</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3,467</w:t>
            </w: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1216" w:type="dxa"/>
            <w:tcBorders>
              <w:top w:val="nil"/>
              <w:left w:val="nil"/>
              <w:bottom w:val="nil"/>
              <w:right w:val="nil"/>
            </w:tcBorders>
            <w:shd w:val="clear" w:color="auto" w:fill="auto"/>
            <w:noWrap/>
            <w:vAlign w:val="bottom"/>
          </w:tcPr>
          <w:p w:rsidR="00ED600C" w:rsidRPr="002E5564" w:rsidRDefault="00ED600C" w:rsidP="00C15E0A">
            <w:pPr>
              <w:spacing w:after="0" w:line="240" w:lineRule="auto"/>
              <w:jc w:val="right"/>
              <w:rPr>
                <w:rFonts w:ascii="Arial" w:eastAsia="Times New Roman" w:hAnsi="Arial" w:cs="Arial"/>
                <w:b/>
                <w:sz w:val="20"/>
                <w:szCs w:val="20"/>
                <w:lang w:eastAsia="en-GB"/>
              </w:rPr>
            </w:pP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r w:rsidRPr="002E5564">
              <w:rPr>
                <w:rFonts w:ascii="Arial" w:eastAsia="Times New Roman" w:hAnsi="Arial" w:cs="Arial"/>
                <w:b/>
                <w:bCs/>
                <w:sz w:val="20"/>
                <w:szCs w:val="20"/>
                <w:lang w:eastAsia="en-GB"/>
              </w:rPr>
              <w:t>Cash flows from investing activities</w:t>
            </w:r>
          </w:p>
        </w:tc>
        <w:tc>
          <w:tcPr>
            <w:tcW w:w="1216" w:type="dxa"/>
            <w:tcBorders>
              <w:top w:val="nil"/>
              <w:left w:val="nil"/>
              <w:bottom w:val="nil"/>
              <w:right w:val="nil"/>
            </w:tcBorders>
            <w:shd w:val="clear" w:color="auto" w:fill="auto"/>
            <w:noWrap/>
            <w:vAlign w:val="bottom"/>
          </w:tcPr>
          <w:p w:rsidR="00ED600C" w:rsidRPr="002E5564" w:rsidRDefault="00ED600C" w:rsidP="00C15E0A">
            <w:pPr>
              <w:spacing w:after="0" w:line="240" w:lineRule="auto"/>
              <w:jc w:val="right"/>
              <w:rPr>
                <w:rFonts w:ascii="Arial" w:eastAsia="Times New Roman" w:hAnsi="Arial" w:cs="Arial"/>
                <w:b/>
                <w:sz w:val="20"/>
                <w:szCs w:val="20"/>
                <w:lang w:eastAsia="en-GB"/>
              </w:rPr>
            </w:pP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Purchase of property, plant and equipment</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(4,933)</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(2,415)</w:t>
            </w:r>
          </w:p>
        </w:tc>
      </w:tr>
      <w:tr w:rsidR="00380ECD" w:rsidRPr="00C15E0A" w:rsidTr="004036E9">
        <w:trPr>
          <w:trHeight w:val="53"/>
        </w:trPr>
        <w:tc>
          <w:tcPr>
            <w:tcW w:w="683" w:type="dxa"/>
            <w:tcBorders>
              <w:top w:val="nil"/>
              <w:left w:val="nil"/>
              <w:bottom w:val="nil"/>
              <w:right w:val="nil"/>
            </w:tcBorders>
            <w:shd w:val="clear" w:color="auto" w:fill="auto"/>
            <w:noWrap/>
            <w:vAlign w:val="bottom"/>
          </w:tcPr>
          <w:p w:rsidR="00380ECD" w:rsidRPr="002E5564" w:rsidRDefault="00380ECD" w:rsidP="004036E9">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4036E9">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Purchase of computer software</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(41)</w:t>
            </w:r>
          </w:p>
        </w:tc>
        <w:tc>
          <w:tcPr>
            <w:tcW w:w="1639" w:type="dxa"/>
            <w:tcBorders>
              <w:top w:val="nil"/>
              <w:left w:val="nil"/>
              <w:bottom w:val="nil"/>
              <w:right w:val="nil"/>
            </w:tcBorders>
            <w:shd w:val="clear" w:color="auto" w:fill="auto"/>
            <w:noWrap/>
            <w:vAlign w:val="bottom"/>
          </w:tcPr>
          <w:p w:rsidR="00380ECD" w:rsidRPr="002E5564" w:rsidRDefault="00380ECD" w:rsidP="004036E9">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Proceeds from the disposal of property, plant &amp; equipment</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21</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17</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7B4511">
            <w:pPr>
              <w:spacing w:after="0" w:line="240" w:lineRule="auto"/>
              <w:rPr>
                <w:rFonts w:ascii="Arial" w:eastAsia="Times New Roman" w:hAnsi="Arial" w:cs="Arial"/>
                <w:i/>
                <w:iCs/>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4E0D90">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Proceeds received from the sale of FOGL shares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1,005</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i/>
                <w:iCs/>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4E0D90">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Cash received / (paid) on transfer of pension scheme</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46</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(260)</w:t>
            </w:r>
          </w:p>
        </w:tc>
      </w:tr>
      <w:tr w:rsidR="00380ECD" w:rsidRPr="00C15E0A" w:rsidTr="004036E9">
        <w:trPr>
          <w:trHeight w:val="53"/>
        </w:trPr>
        <w:tc>
          <w:tcPr>
            <w:tcW w:w="683" w:type="dxa"/>
            <w:tcBorders>
              <w:top w:val="nil"/>
              <w:left w:val="nil"/>
              <w:bottom w:val="nil"/>
              <w:right w:val="nil"/>
            </w:tcBorders>
            <w:shd w:val="clear" w:color="auto" w:fill="auto"/>
            <w:noWrap/>
            <w:vAlign w:val="bottom"/>
          </w:tcPr>
          <w:p w:rsidR="00380ECD" w:rsidRPr="002E5564" w:rsidRDefault="00380ECD" w:rsidP="004036E9">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4036E9">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Investment in Joint Venture</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w:t>
            </w:r>
          </w:p>
        </w:tc>
        <w:tc>
          <w:tcPr>
            <w:tcW w:w="1639" w:type="dxa"/>
            <w:tcBorders>
              <w:top w:val="nil"/>
              <w:left w:val="nil"/>
              <w:bottom w:val="nil"/>
              <w:right w:val="nil"/>
            </w:tcBorders>
            <w:shd w:val="clear" w:color="auto" w:fill="auto"/>
            <w:noWrap/>
            <w:vAlign w:val="bottom"/>
          </w:tcPr>
          <w:p w:rsidR="00380ECD" w:rsidRPr="002E5564" w:rsidRDefault="00380ECD" w:rsidP="004036E9">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(50)</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4E0D90">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Loans to Joint Venture</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(529)</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single" w:sz="4" w:space="0" w:color="auto"/>
              <w:right w:val="nil"/>
            </w:tcBorders>
            <w:shd w:val="clear" w:color="auto" w:fill="auto"/>
            <w:noWrap/>
            <w:vAlign w:val="bottom"/>
          </w:tcPr>
          <w:p w:rsidR="00380ECD" w:rsidRPr="002E5564" w:rsidRDefault="00380ECD" w:rsidP="004E0D90">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Interest received</w:t>
            </w:r>
          </w:p>
        </w:tc>
        <w:tc>
          <w:tcPr>
            <w:tcW w:w="1216" w:type="dxa"/>
            <w:tcBorders>
              <w:top w:val="nil"/>
              <w:left w:val="nil"/>
              <w:bottom w:val="single" w:sz="4" w:space="0" w:color="auto"/>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99</w:t>
            </w:r>
          </w:p>
        </w:tc>
        <w:tc>
          <w:tcPr>
            <w:tcW w:w="1639" w:type="dxa"/>
            <w:tcBorders>
              <w:top w:val="nil"/>
              <w:left w:val="nil"/>
              <w:bottom w:val="single" w:sz="4" w:space="0" w:color="auto"/>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164</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b/>
                <w:bCs/>
                <w:sz w:val="20"/>
                <w:szCs w:val="20"/>
                <w:lang w:eastAsia="en-GB"/>
              </w:rPr>
              <w:t>Net cash flow from investing activities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(5,337)</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(1,539)</w:t>
            </w: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1216"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b/>
                <w:sz w:val="20"/>
                <w:szCs w:val="20"/>
                <w:lang w:eastAsia="en-GB"/>
              </w:rPr>
            </w:pP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rPr>
                <w:rFonts w:ascii="Arial" w:eastAsia="Times New Roman" w:hAnsi="Arial" w:cs="Arial"/>
                <w:sz w:val="20"/>
                <w:szCs w:val="20"/>
                <w:lang w:eastAsia="en-GB"/>
              </w:rPr>
            </w:pP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sz w:val="20"/>
                <w:szCs w:val="20"/>
                <w:lang w:eastAsia="en-GB"/>
              </w:rPr>
            </w:pPr>
            <w:r w:rsidRPr="002E5564">
              <w:rPr>
                <w:rFonts w:ascii="Arial" w:eastAsia="Times New Roman" w:hAnsi="Arial" w:cs="Arial"/>
                <w:b/>
                <w:bCs/>
                <w:sz w:val="20"/>
                <w:szCs w:val="20"/>
                <w:lang w:eastAsia="en-GB"/>
              </w:rPr>
              <w:t>Cash flow from financing activities</w:t>
            </w:r>
          </w:p>
        </w:tc>
        <w:tc>
          <w:tcPr>
            <w:tcW w:w="1216" w:type="dxa"/>
            <w:tcBorders>
              <w:top w:val="nil"/>
              <w:left w:val="nil"/>
              <w:bottom w:val="nil"/>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b/>
                <w:sz w:val="20"/>
                <w:szCs w:val="20"/>
                <w:lang w:eastAsia="en-GB"/>
              </w:rPr>
            </w:pPr>
          </w:p>
        </w:tc>
        <w:tc>
          <w:tcPr>
            <w:tcW w:w="1639" w:type="dxa"/>
            <w:tcBorders>
              <w:top w:val="nil"/>
              <w:left w:val="nil"/>
              <w:bottom w:val="nil"/>
              <w:right w:val="nil"/>
            </w:tcBorders>
            <w:shd w:val="clear" w:color="auto" w:fill="auto"/>
            <w:noWrap/>
            <w:vAlign w:val="bottom"/>
          </w:tcPr>
          <w:p w:rsidR="00ED600C" w:rsidRPr="002E5564" w:rsidRDefault="00ED600C" w:rsidP="00ED600C">
            <w:pPr>
              <w:spacing w:after="0" w:line="240" w:lineRule="auto"/>
              <w:rPr>
                <w:rFonts w:ascii="Arial" w:eastAsia="Times New Roman" w:hAnsi="Arial" w:cs="Arial"/>
                <w:sz w:val="20"/>
                <w:szCs w:val="20"/>
                <w:lang w:eastAsia="en-GB"/>
              </w:rPr>
            </w:pP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Increase in other financial assets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(238)</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(72)</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 xml:space="preserve">Repayment of secured loan </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(1,396)</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(1,135)</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Financing loan draw downs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122</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Interest paid</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(39)</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(85)</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7B4511">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7B4511">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Proceeds from the issue of ordinary share capital</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9,889</w:t>
            </w:r>
          </w:p>
        </w:tc>
      </w:tr>
      <w:tr w:rsidR="00380ECD" w:rsidRPr="00C15E0A" w:rsidTr="004036E9">
        <w:trPr>
          <w:trHeight w:val="53"/>
        </w:trPr>
        <w:tc>
          <w:tcPr>
            <w:tcW w:w="683" w:type="dxa"/>
            <w:tcBorders>
              <w:top w:val="nil"/>
              <w:left w:val="nil"/>
              <w:bottom w:val="nil"/>
              <w:right w:val="nil"/>
            </w:tcBorders>
            <w:shd w:val="clear" w:color="auto" w:fill="auto"/>
            <w:noWrap/>
            <w:vAlign w:val="bottom"/>
          </w:tcPr>
          <w:p w:rsidR="00380ECD" w:rsidRPr="002E5564" w:rsidRDefault="00380ECD" w:rsidP="004036E9">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4036E9">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 xml:space="preserve">Net </w:t>
            </w:r>
            <w:proofErr w:type="spellStart"/>
            <w:r w:rsidRPr="002E5564">
              <w:rPr>
                <w:rFonts w:ascii="Arial" w:eastAsia="Times New Roman" w:hAnsi="Arial" w:cs="Arial"/>
                <w:sz w:val="20"/>
                <w:szCs w:val="20"/>
                <w:lang w:eastAsia="en-GB"/>
              </w:rPr>
              <w:t>cashflows</w:t>
            </w:r>
            <w:proofErr w:type="spellEnd"/>
            <w:r w:rsidRPr="002E5564">
              <w:rPr>
                <w:rFonts w:ascii="Arial" w:eastAsia="Times New Roman" w:hAnsi="Arial" w:cs="Arial"/>
                <w:sz w:val="20"/>
                <w:szCs w:val="20"/>
                <w:lang w:eastAsia="en-GB"/>
              </w:rPr>
              <w:t xml:space="preserve"> from sale and purchase of Treasury shares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(66)</w:t>
            </w:r>
          </w:p>
        </w:tc>
        <w:tc>
          <w:tcPr>
            <w:tcW w:w="1639" w:type="dxa"/>
            <w:tcBorders>
              <w:top w:val="nil"/>
              <w:left w:val="nil"/>
              <w:bottom w:val="nil"/>
              <w:right w:val="nil"/>
            </w:tcBorders>
            <w:shd w:val="clear" w:color="auto" w:fill="auto"/>
            <w:noWrap/>
            <w:vAlign w:val="bottom"/>
          </w:tcPr>
          <w:p w:rsidR="00380ECD" w:rsidRPr="002E5564" w:rsidRDefault="00380ECD" w:rsidP="004036E9">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Fund raising expenses paid</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(620)</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single" w:sz="4" w:space="0" w:color="auto"/>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Dividends paid</w:t>
            </w:r>
          </w:p>
        </w:tc>
        <w:tc>
          <w:tcPr>
            <w:tcW w:w="1216" w:type="dxa"/>
            <w:tcBorders>
              <w:top w:val="nil"/>
              <w:left w:val="nil"/>
              <w:bottom w:val="single" w:sz="4" w:space="0" w:color="auto"/>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(1,423)</w:t>
            </w:r>
          </w:p>
        </w:tc>
        <w:tc>
          <w:tcPr>
            <w:tcW w:w="1639" w:type="dxa"/>
            <w:tcBorders>
              <w:top w:val="nil"/>
              <w:left w:val="nil"/>
              <w:bottom w:val="single" w:sz="4" w:space="0" w:color="auto"/>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(1,362)</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b/>
                <w:bCs/>
                <w:sz w:val="20"/>
                <w:szCs w:val="20"/>
                <w:lang w:eastAsia="en-GB"/>
              </w:rPr>
              <w:t>Net cash flow from financing activities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(3,162)</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6,737</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b/>
                <w:bCs/>
                <w:sz w:val="20"/>
                <w:szCs w:val="20"/>
                <w:lang w:eastAsia="en-GB"/>
              </w:rPr>
            </w:pPr>
            <w:r w:rsidRPr="002E5564">
              <w:rPr>
                <w:rFonts w:ascii="Arial" w:eastAsia="Times New Roman" w:hAnsi="Arial" w:cs="Arial"/>
                <w:b/>
                <w:bCs/>
                <w:sz w:val="20"/>
                <w:szCs w:val="20"/>
                <w:lang w:eastAsia="en-GB"/>
              </w:rPr>
              <w:t>Net increase in cash and cash equivalents</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(5,701)</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8,665</w:t>
            </w:r>
          </w:p>
        </w:tc>
      </w:tr>
      <w:tr w:rsidR="00380ECD" w:rsidRPr="00C15E0A">
        <w:trPr>
          <w:trHeight w:val="53"/>
        </w:trPr>
        <w:tc>
          <w:tcPr>
            <w:tcW w:w="683"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p>
        </w:tc>
        <w:tc>
          <w:tcPr>
            <w:tcW w:w="7114" w:type="dxa"/>
            <w:tcBorders>
              <w:top w:val="nil"/>
              <w:left w:val="nil"/>
              <w:bottom w:val="nil"/>
              <w:right w:val="nil"/>
            </w:tcBorders>
            <w:shd w:val="clear" w:color="auto" w:fill="auto"/>
            <w:noWrap/>
            <w:vAlign w:val="bottom"/>
          </w:tcPr>
          <w:p w:rsidR="00380ECD" w:rsidRPr="002E5564" w:rsidRDefault="00380ECD" w:rsidP="00EF5725">
            <w:pPr>
              <w:spacing w:after="0" w:line="240" w:lineRule="auto"/>
              <w:rPr>
                <w:rFonts w:ascii="Arial" w:eastAsia="Times New Roman" w:hAnsi="Arial" w:cs="Arial"/>
                <w:sz w:val="20"/>
                <w:szCs w:val="20"/>
                <w:lang w:eastAsia="en-GB"/>
              </w:rPr>
            </w:pPr>
            <w:r w:rsidRPr="002E5564">
              <w:rPr>
                <w:rFonts w:ascii="Arial" w:eastAsia="Times New Roman" w:hAnsi="Arial" w:cs="Arial"/>
                <w:sz w:val="20"/>
                <w:szCs w:val="20"/>
                <w:lang w:eastAsia="en-GB"/>
              </w:rPr>
              <w:t>Cash and cash equivalents at start of year</w:t>
            </w:r>
          </w:p>
        </w:tc>
        <w:tc>
          <w:tcPr>
            <w:tcW w:w="1216" w:type="dxa"/>
            <w:tcBorders>
              <w:top w:val="nil"/>
              <w:left w:val="nil"/>
              <w:bottom w:val="nil"/>
              <w:right w:val="nil"/>
            </w:tcBorders>
            <w:shd w:val="clear" w:color="auto" w:fill="auto"/>
            <w:noWrap/>
            <w:vAlign w:val="bottom"/>
          </w:tcPr>
          <w:p w:rsidR="00380ECD" w:rsidRPr="002E5564" w:rsidRDefault="00380ECD" w:rsidP="00380ECD">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11,416</w:t>
            </w:r>
          </w:p>
        </w:tc>
        <w:tc>
          <w:tcPr>
            <w:tcW w:w="1639" w:type="dxa"/>
            <w:tcBorders>
              <w:top w:val="nil"/>
              <w:left w:val="nil"/>
              <w:bottom w:val="nil"/>
              <w:right w:val="nil"/>
            </w:tcBorders>
            <w:shd w:val="clear" w:color="auto" w:fill="auto"/>
            <w:noWrap/>
            <w:vAlign w:val="bottom"/>
          </w:tcPr>
          <w:p w:rsidR="00380ECD" w:rsidRPr="002E5564" w:rsidRDefault="00380ECD"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2,751</w:t>
            </w:r>
          </w:p>
        </w:tc>
      </w:tr>
      <w:tr w:rsidR="00ED600C" w:rsidRPr="00C15E0A">
        <w:trPr>
          <w:trHeight w:val="53"/>
        </w:trPr>
        <w:tc>
          <w:tcPr>
            <w:tcW w:w="683" w:type="dxa"/>
            <w:tcBorders>
              <w:top w:val="nil"/>
              <w:left w:val="nil"/>
              <w:bottom w:val="nil"/>
              <w:right w:val="nil"/>
            </w:tcBorders>
            <w:shd w:val="clear" w:color="auto" w:fill="auto"/>
            <w:noWrap/>
            <w:vAlign w:val="bottom"/>
          </w:tcPr>
          <w:p w:rsidR="00ED600C" w:rsidRPr="002E5564" w:rsidRDefault="00ED600C" w:rsidP="00CB361F">
            <w:pPr>
              <w:spacing w:after="0" w:line="240" w:lineRule="auto"/>
              <w:rPr>
                <w:rFonts w:ascii="Arial" w:eastAsia="Times New Roman" w:hAnsi="Arial" w:cs="Arial"/>
                <w:i/>
                <w:iCs/>
                <w:sz w:val="20"/>
                <w:szCs w:val="20"/>
                <w:lang w:eastAsia="en-GB"/>
              </w:rPr>
            </w:pPr>
          </w:p>
        </w:tc>
        <w:tc>
          <w:tcPr>
            <w:tcW w:w="7114" w:type="dxa"/>
            <w:tcBorders>
              <w:top w:val="single" w:sz="4" w:space="0" w:color="auto"/>
              <w:left w:val="nil"/>
              <w:bottom w:val="single" w:sz="4" w:space="0" w:color="auto"/>
              <w:right w:val="nil"/>
            </w:tcBorders>
            <w:shd w:val="clear" w:color="auto" w:fill="auto"/>
            <w:noWrap/>
            <w:vAlign w:val="bottom"/>
          </w:tcPr>
          <w:p w:rsidR="00ED600C" w:rsidRPr="002E5564" w:rsidRDefault="00ED600C" w:rsidP="00EF5725">
            <w:pPr>
              <w:spacing w:after="0" w:line="240" w:lineRule="auto"/>
              <w:rPr>
                <w:rFonts w:ascii="Arial" w:eastAsia="Times New Roman" w:hAnsi="Arial" w:cs="Arial"/>
                <w:b/>
                <w:bCs/>
                <w:sz w:val="20"/>
                <w:szCs w:val="20"/>
                <w:lang w:eastAsia="en-GB"/>
              </w:rPr>
            </w:pPr>
            <w:r w:rsidRPr="002E5564">
              <w:rPr>
                <w:rFonts w:ascii="Arial" w:eastAsia="Times New Roman" w:hAnsi="Arial" w:cs="Arial"/>
                <w:b/>
                <w:bCs/>
                <w:sz w:val="20"/>
                <w:szCs w:val="20"/>
                <w:lang w:eastAsia="en-GB"/>
              </w:rPr>
              <w:t>Cash and cash equivalents at end of year</w:t>
            </w:r>
          </w:p>
        </w:tc>
        <w:tc>
          <w:tcPr>
            <w:tcW w:w="1216" w:type="dxa"/>
            <w:tcBorders>
              <w:top w:val="single" w:sz="4" w:space="0" w:color="auto"/>
              <w:left w:val="nil"/>
              <w:bottom w:val="single" w:sz="4" w:space="0" w:color="auto"/>
              <w:right w:val="nil"/>
            </w:tcBorders>
            <w:shd w:val="clear" w:color="auto" w:fill="auto"/>
            <w:noWrap/>
            <w:vAlign w:val="bottom"/>
          </w:tcPr>
          <w:p w:rsidR="00ED600C" w:rsidRPr="002E5564" w:rsidRDefault="00380ECD" w:rsidP="00C15E0A">
            <w:pPr>
              <w:spacing w:after="0" w:line="240" w:lineRule="auto"/>
              <w:jc w:val="right"/>
              <w:rPr>
                <w:rFonts w:ascii="Arial" w:eastAsia="Times New Roman" w:hAnsi="Arial" w:cs="Arial"/>
                <w:b/>
                <w:sz w:val="20"/>
                <w:szCs w:val="20"/>
                <w:lang w:eastAsia="en-GB"/>
              </w:rPr>
            </w:pPr>
            <w:r w:rsidRPr="002E5564">
              <w:rPr>
                <w:rFonts w:ascii="Arial" w:eastAsia="Times New Roman" w:hAnsi="Arial" w:cs="Arial"/>
                <w:b/>
                <w:sz w:val="20"/>
                <w:szCs w:val="20"/>
                <w:lang w:eastAsia="en-GB"/>
              </w:rPr>
              <w:t>5,715</w:t>
            </w:r>
          </w:p>
        </w:tc>
        <w:tc>
          <w:tcPr>
            <w:tcW w:w="1639" w:type="dxa"/>
            <w:tcBorders>
              <w:top w:val="single" w:sz="4" w:space="0" w:color="auto"/>
              <w:left w:val="nil"/>
              <w:bottom w:val="single" w:sz="4" w:space="0" w:color="auto"/>
              <w:right w:val="nil"/>
            </w:tcBorders>
            <w:shd w:val="clear" w:color="auto" w:fill="auto"/>
            <w:noWrap/>
            <w:vAlign w:val="bottom"/>
          </w:tcPr>
          <w:p w:rsidR="00ED600C" w:rsidRPr="002E5564" w:rsidRDefault="00ED600C" w:rsidP="00ED600C">
            <w:pPr>
              <w:spacing w:after="0" w:line="240" w:lineRule="auto"/>
              <w:jc w:val="right"/>
              <w:rPr>
                <w:rFonts w:ascii="Arial" w:eastAsia="Times New Roman" w:hAnsi="Arial" w:cs="Arial"/>
                <w:sz w:val="20"/>
                <w:szCs w:val="20"/>
                <w:lang w:eastAsia="en-GB"/>
              </w:rPr>
            </w:pPr>
            <w:r w:rsidRPr="002E5564">
              <w:rPr>
                <w:rFonts w:ascii="Arial" w:eastAsia="Times New Roman" w:hAnsi="Arial" w:cs="Arial"/>
                <w:sz w:val="20"/>
                <w:szCs w:val="20"/>
                <w:lang w:eastAsia="en-GB"/>
              </w:rPr>
              <w:t>11,416</w:t>
            </w:r>
          </w:p>
        </w:tc>
      </w:tr>
    </w:tbl>
    <w:p w:rsidR="00A25F02" w:rsidRDefault="00A25F02"/>
    <w:p w:rsidR="002E5564" w:rsidRDefault="002E5564"/>
    <w:tbl>
      <w:tblPr>
        <w:tblW w:w="10740" w:type="dxa"/>
        <w:tblLook w:val="04A0" w:firstRow="1" w:lastRow="0" w:firstColumn="1" w:lastColumn="0" w:noHBand="0" w:noVBand="1"/>
      </w:tblPr>
      <w:tblGrid>
        <w:gridCol w:w="708"/>
        <w:gridCol w:w="7338"/>
        <w:gridCol w:w="1418"/>
        <w:gridCol w:w="1276"/>
      </w:tblGrid>
      <w:tr w:rsidR="006B6CE9" w:rsidRPr="00CF1960" w:rsidTr="00191DA8">
        <w:trPr>
          <w:trHeight w:val="57"/>
        </w:trPr>
        <w:tc>
          <w:tcPr>
            <w:tcW w:w="10740" w:type="dxa"/>
            <w:gridSpan w:val="4"/>
            <w:tcBorders>
              <w:top w:val="nil"/>
              <w:left w:val="nil"/>
              <w:bottom w:val="nil"/>
              <w:right w:val="nil"/>
            </w:tcBorders>
            <w:shd w:val="clear" w:color="auto" w:fill="auto"/>
            <w:noWrap/>
            <w:vAlign w:val="bottom"/>
          </w:tcPr>
          <w:p w:rsidR="006B6CE9" w:rsidRPr="00CF1960" w:rsidRDefault="006B6CE9" w:rsidP="00EF5725">
            <w:pPr>
              <w:spacing w:after="0" w:line="240" w:lineRule="auto"/>
              <w:rPr>
                <w:rFonts w:ascii="Arial" w:eastAsia="Times New Roman" w:hAnsi="Arial" w:cs="Arial"/>
                <w:color w:val="000000"/>
                <w:sz w:val="24"/>
                <w:szCs w:val="24"/>
                <w:lang w:eastAsia="en-GB"/>
              </w:rPr>
            </w:pPr>
            <w:r w:rsidRPr="00CF1960">
              <w:rPr>
                <w:rFonts w:ascii="Arial" w:eastAsia="Times New Roman" w:hAnsi="Arial" w:cs="Arial"/>
                <w:b/>
                <w:bCs/>
                <w:sz w:val="24"/>
                <w:szCs w:val="24"/>
                <w:lang w:eastAsia="en-GB"/>
              </w:rPr>
              <w:t>Consolidated Statement of Changes in Shareholders' Equity</w:t>
            </w:r>
          </w:p>
        </w:tc>
      </w:tr>
      <w:tr w:rsidR="006B6CE9" w:rsidRPr="003B1452" w:rsidTr="00191DA8">
        <w:trPr>
          <w:trHeight w:val="57"/>
        </w:trPr>
        <w:tc>
          <w:tcPr>
            <w:tcW w:w="10740" w:type="dxa"/>
            <w:gridSpan w:val="4"/>
            <w:tcBorders>
              <w:top w:val="nil"/>
              <w:left w:val="nil"/>
              <w:bottom w:val="nil"/>
              <w:right w:val="nil"/>
            </w:tcBorders>
            <w:shd w:val="clear" w:color="auto" w:fill="auto"/>
            <w:noWrap/>
            <w:vAlign w:val="bottom"/>
          </w:tcPr>
          <w:p w:rsidR="006B6CE9" w:rsidRPr="003B1452" w:rsidRDefault="006B6CE9" w:rsidP="00EF5725">
            <w:pPr>
              <w:spacing w:after="0" w:line="240" w:lineRule="auto"/>
              <w:rPr>
                <w:rFonts w:ascii="Arial" w:eastAsia="Times New Roman" w:hAnsi="Arial" w:cs="Arial"/>
                <w:color w:val="000000"/>
                <w:sz w:val="20"/>
                <w:szCs w:val="20"/>
                <w:lang w:eastAsia="en-GB"/>
              </w:rPr>
            </w:pPr>
            <w:r w:rsidRPr="003B1452">
              <w:rPr>
                <w:rFonts w:ascii="Arial" w:eastAsia="Times New Roman" w:hAnsi="Arial" w:cs="Arial"/>
                <w:b/>
                <w:bCs/>
                <w:sz w:val="20"/>
                <w:szCs w:val="20"/>
                <w:lang w:eastAsia="en-GB"/>
              </w:rPr>
              <w:t xml:space="preserve">FOR THE YEAR ENDED 31 MARCH </w:t>
            </w:r>
            <w:r w:rsidR="00ED600C">
              <w:rPr>
                <w:rFonts w:ascii="Arial" w:eastAsia="Times New Roman" w:hAnsi="Arial" w:cs="Arial"/>
                <w:b/>
                <w:bCs/>
                <w:sz w:val="20"/>
                <w:szCs w:val="20"/>
                <w:lang w:eastAsia="en-GB"/>
              </w:rPr>
              <w:t>2014</w:t>
            </w:r>
          </w:p>
        </w:tc>
      </w:tr>
      <w:tr w:rsidR="006B6CE9" w:rsidRPr="003B1452" w:rsidTr="00191DA8">
        <w:trPr>
          <w:trHeight w:val="57"/>
        </w:trPr>
        <w:tc>
          <w:tcPr>
            <w:tcW w:w="708" w:type="dxa"/>
            <w:tcBorders>
              <w:top w:val="nil"/>
              <w:left w:val="nil"/>
              <w:bottom w:val="nil"/>
              <w:right w:val="nil"/>
            </w:tcBorders>
            <w:shd w:val="clear" w:color="auto" w:fill="auto"/>
            <w:noWrap/>
            <w:vAlign w:val="bottom"/>
          </w:tcPr>
          <w:p w:rsidR="006B6CE9" w:rsidRPr="003B1452" w:rsidRDefault="006B6CE9" w:rsidP="00EF5725">
            <w:pPr>
              <w:spacing w:after="0" w:line="240" w:lineRule="auto"/>
              <w:rPr>
                <w:rFonts w:ascii="Arial" w:eastAsia="Times New Roman" w:hAnsi="Arial" w:cs="Arial"/>
                <w:sz w:val="20"/>
                <w:szCs w:val="20"/>
                <w:lang w:eastAsia="en-GB"/>
              </w:rPr>
            </w:pPr>
          </w:p>
        </w:tc>
        <w:tc>
          <w:tcPr>
            <w:tcW w:w="7338" w:type="dxa"/>
            <w:tcBorders>
              <w:top w:val="nil"/>
              <w:left w:val="nil"/>
              <w:bottom w:val="nil"/>
              <w:right w:val="nil"/>
            </w:tcBorders>
            <w:shd w:val="clear" w:color="auto" w:fill="auto"/>
            <w:noWrap/>
            <w:vAlign w:val="bottom"/>
          </w:tcPr>
          <w:p w:rsidR="006B6CE9" w:rsidRPr="003B1452" w:rsidRDefault="006B6CE9" w:rsidP="00EF5725">
            <w:pPr>
              <w:spacing w:after="0" w:line="240" w:lineRule="auto"/>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bottom"/>
          </w:tcPr>
          <w:p w:rsidR="006B6CE9" w:rsidRPr="007049AF" w:rsidRDefault="00ED600C" w:rsidP="00EF5725">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2014</w:t>
            </w:r>
          </w:p>
        </w:tc>
        <w:tc>
          <w:tcPr>
            <w:tcW w:w="1276" w:type="dxa"/>
            <w:tcBorders>
              <w:top w:val="nil"/>
              <w:left w:val="nil"/>
              <w:bottom w:val="nil"/>
              <w:right w:val="nil"/>
            </w:tcBorders>
            <w:shd w:val="clear" w:color="auto" w:fill="auto"/>
            <w:noWrap/>
            <w:vAlign w:val="bottom"/>
          </w:tcPr>
          <w:p w:rsidR="006B6CE9" w:rsidRPr="003B1452" w:rsidRDefault="00ED600C" w:rsidP="00EF572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2013</w:t>
            </w:r>
          </w:p>
        </w:tc>
      </w:tr>
      <w:tr w:rsidR="006B6CE9" w:rsidRPr="003B1452" w:rsidTr="00191DA8">
        <w:trPr>
          <w:trHeight w:val="57"/>
        </w:trPr>
        <w:tc>
          <w:tcPr>
            <w:tcW w:w="708" w:type="dxa"/>
            <w:tcBorders>
              <w:top w:val="nil"/>
              <w:left w:val="nil"/>
              <w:bottom w:val="nil"/>
              <w:right w:val="nil"/>
            </w:tcBorders>
            <w:shd w:val="clear" w:color="auto" w:fill="auto"/>
            <w:noWrap/>
            <w:vAlign w:val="bottom"/>
          </w:tcPr>
          <w:p w:rsidR="006B6CE9" w:rsidRPr="003B1452" w:rsidRDefault="006B6CE9" w:rsidP="00EF5725">
            <w:pPr>
              <w:spacing w:after="0" w:line="240" w:lineRule="auto"/>
              <w:rPr>
                <w:rFonts w:ascii="Arial" w:eastAsia="Times New Roman" w:hAnsi="Arial" w:cs="Arial"/>
                <w:sz w:val="20"/>
                <w:szCs w:val="20"/>
                <w:lang w:eastAsia="en-GB"/>
              </w:rPr>
            </w:pPr>
          </w:p>
        </w:tc>
        <w:tc>
          <w:tcPr>
            <w:tcW w:w="7338" w:type="dxa"/>
            <w:tcBorders>
              <w:top w:val="nil"/>
              <w:left w:val="nil"/>
              <w:bottom w:val="single" w:sz="4" w:space="0" w:color="auto"/>
              <w:right w:val="nil"/>
            </w:tcBorders>
            <w:shd w:val="clear" w:color="auto" w:fill="auto"/>
            <w:noWrap/>
            <w:vAlign w:val="bottom"/>
          </w:tcPr>
          <w:p w:rsidR="006B6CE9" w:rsidRPr="003B1452" w:rsidRDefault="006B6CE9" w:rsidP="00EF5725">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 </w:t>
            </w:r>
          </w:p>
        </w:tc>
        <w:tc>
          <w:tcPr>
            <w:tcW w:w="1418" w:type="dxa"/>
            <w:tcBorders>
              <w:top w:val="nil"/>
              <w:left w:val="nil"/>
              <w:bottom w:val="single" w:sz="4" w:space="0" w:color="auto"/>
              <w:right w:val="nil"/>
            </w:tcBorders>
            <w:shd w:val="clear" w:color="auto" w:fill="auto"/>
            <w:noWrap/>
            <w:vAlign w:val="bottom"/>
          </w:tcPr>
          <w:p w:rsidR="006B6CE9" w:rsidRPr="007049AF" w:rsidRDefault="006B6CE9" w:rsidP="00EF5725">
            <w:pPr>
              <w:spacing w:after="0" w:line="240" w:lineRule="auto"/>
              <w:jc w:val="right"/>
              <w:rPr>
                <w:rFonts w:ascii="Arial" w:eastAsia="Times New Roman" w:hAnsi="Arial" w:cs="Arial"/>
                <w:b/>
                <w:sz w:val="20"/>
                <w:szCs w:val="20"/>
                <w:lang w:eastAsia="en-GB"/>
              </w:rPr>
            </w:pPr>
            <w:r w:rsidRPr="007049AF">
              <w:rPr>
                <w:rFonts w:ascii="Arial" w:eastAsia="Times New Roman" w:hAnsi="Arial" w:cs="Arial"/>
                <w:b/>
                <w:sz w:val="20"/>
                <w:szCs w:val="20"/>
                <w:lang w:eastAsia="en-GB"/>
              </w:rPr>
              <w:t>£'000</w:t>
            </w:r>
          </w:p>
        </w:tc>
        <w:tc>
          <w:tcPr>
            <w:tcW w:w="1276" w:type="dxa"/>
            <w:tcBorders>
              <w:top w:val="nil"/>
              <w:left w:val="nil"/>
              <w:bottom w:val="single" w:sz="4" w:space="0" w:color="auto"/>
              <w:right w:val="nil"/>
            </w:tcBorders>
            <w:shd w:val="clear" w:color="auto" w:fill="auto"/>
            <w:noWrap/>
            <w:vAlign w:val="bottom"/>
          </w:tcPr>
          <w:p w:rsidR="006B6CE9" w:rsidRPr="003B1452" w:rsidRDefault="006B6CE9" w:rsidP="00EF5725">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£'000</w:t>
            </w:r>
          </w:p>
        </w:tc>
      </w:tr>
      <w:tr w:rsidR="00ED600C" w:rsidRPr="003B1452" w:rsidTr="00191DA8">
        <w:trPr>
          <w:trHeight w:val="295"/>
        </w:trPr>
        <w:tc>
          <w:tcPr>
            <w:tcW w:w="70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p>
        </w:tc>
        <w:tc>
          <w:tcPr>
            <w:tcW w:w="733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Shareholders' funds at the beginning of the period</w:t>
            </w:r>
          </w:p>
        </w:tc>
        <w:tc>
          <w:tcPr>
            <w:tcW w:w="1418" w:type="dxa"/>
            <w:tcBorders>
              <w:top w:val="nil"/>
              <w:left w:val="nil"/>
              <w:bottom w:val="nil"/>
              <w:right w:val="nil"/>
            </w:tcBorders>
            <w:shd w:val="clear" w:color="auto" w:fill="auto"/>
            <w:noWrap/>
            <w:vAlign w:val="bottom"/>
          </w:tcPr>
          <w:p w:rsidR="00ED600C" w:rsidRPr="00ED600C" w:rsidRDefault="00ED600C" w:rsidP="00EF5725">
            <w:pPr>
              <w:spacing w:after="0" w:line="240" w:lineRule="auto"/>
              <w:jc w:val="right"/>
              <w:rPr>
                <w:rFonts w:ascii="Arial" w:eastAsia="Times New Roman" w:hAnsi="Arial" w:cs="Arial"/>
                <w:b/>
                <w:color w:val="000000"/>
                <w:sz w:val="20"/>
                <w:szCs w:val="20"/>
                <w:lang w:eastAsia="en-GB"/>
              </w:rPr>
            </w:pPr>
            <w:r w:rsidRPr="00ED600C">
              <w:rPr>
                <w:rFonts w:ascii="Arial" w:eastAsia="Times New Roman" w:hAnsi="Arial" w:cs="Arial"/>
                <w:b/>
                <w:bCs/>
                <w:color w:val="000000"/>
                <w:sz w:val="20"/>
                <w:szCs w:val="20"/>
                <w:lang w:eastAsia="en-GB"/>
              </w:rPr>
              <w:t>34,279</w:t>
            </w:r>
          </w:p>
        </w:tc>
        <w:tc>
          <w:tcPr>
            <w:tcW w:w="1276"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color w:val="000000"/>
                <w:sz w:val="20"/>
                <w:szCs w:val="20"/>
                <w:lang w:eastAsia="en-GB"/>
              </w:rPr>
            </w:pPr>
            <w:r w:rsidRPr="00ED600C">
              <w:rPr>
                <w:rFonts w:ascii="Arial" w:eastAsia="Times New Roman" w:hAnsi="Arial" w:cs="Arial"/>
                <w:color w:val="000000"/>
                <w:sz w:val="20"/>
                <w:szCs w:val="20"/>
                <w:lang w:eastAsia="en-GB"/>
              </w:rPr>
              <w:t>29,488</w:t>
            </w:r>
          </w:p>
        </w:tc>
      </w:tr>
      <w:tr w:rsidR="00ED600C" w:rsidRPr="003B1452" w:rsidTr="0038115F">
        <w:trPr>
          <w:trHeight w:val="295"/>
        </w:trPr>
        <w:tc>
          <w:tcPr>
            <w:tcW w:w="708" w:type="dxa"/>
            <w:tcBorders>
              <w:top w:val="nil"/>
              <w:left w:val="nil"/>
              <w:bottom w:val="nil"/>
              <w:right w:val="nil"/>
            </w:tcBorders>
            <w:shd w:val="clear" w:color="auto" w:fill="auto"/>
            <w:noWrap/>
            <w:vAlign w:val="bottom"/>
          </w:tcPr>
          <w:p w:rsidR="00ED600C" w:rsidRPr="003B1452" w:rsidRDefault="00ED600C" w:rsidP="0038115F">
            <w:pPr>
              <w:spacing w:after="0" w:line="240" w:lineRule="auto"/>
              <w:rPr>
                <w:rFonts w:ascii="Arial" w:eastAsia="Times New Roman" w:hAnsi="Arial" w:cs="Arial"/>
                <w:sz w:val="20"/>
                <w:szCs w:val="20"/>
                <w:lang w:eastAsia="en-GB"/>
              </w:rPr>
            </w:pPr>
          </w:p>
        </w:tc>
        <w:tc>
          <w:tcPr>
            <w:tcW w:w="7338" w:type="dxa"/>
            <w:tcBorders>
              <w:top w:val="nil"/>
              <w:left w:val="nil"/>
              <w:bottom w:val="nil"/>
              <w:right w:val="nil"/>
            </w:tcBorders>
            <w:shd w:val="clear" w:color="auto" w:fill="auto"/>
            <w:noWrap/>
            <w:vAlign w:val="bottom"/>
          </w:tcPr>
          <w:p w:rsidR="00ED600C" w:rsidRPr="003B1452" w:rsidRDefault="00ED600C" w:rsidP="0038115F">
            <w:pPr>
              <w:spacing w:after="0" w:line="240" w:lineRule="auto"/>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bottom"/>
          </w:tcPr>
          <w:p w:rsidR="00ED600C" w:rsidRPr="007049AF" w:rsidRDefault="00ED600C" w:rsidP="0038115F">
            <w:pPr>
              <w:spacing w:after="0" w:line="240" w:lineRule="auto"/>
              <w:jc w:val="right"/>
              <w:rPr>
                <w:rFonts w:ascii="Arial" w:eastAsia="Times New Roman" w:hAnsi="Arial" w:cs="Arial"/>
                <w:b/>
                <w:color w:val="000000"/>
                <w:sz w:val="20"/>
                <w:szCs w:val="20"/>
                <w:lang w:eastAsia="en-GB"/>
              </w:rPr>
            </w:pPr>
          </w:p>
        </w:tc>
        <w:tc>
          <w:tcPr>
            <w:tcW w:w="1276"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color w:val="000000"/>
                <w:sz w:val="20"/>
                <w:szCs w:val="20"/>
                <w:lang w:eastAsia="en-GB"/>
              </w:rPr>
            </w:pPr>
          </w:p>
        </w:tc>
      </w:tr>
      <w:tr w:rsidR="00ED600C" w:rsidRPr="003B1452" w:rsidTr="00191DA8">
        <w:trPr>
          <w:trHeight w:val="295"/>
        </w:trPr>
        <w:tc>
          <w:tcPr>
            <w:tcW w:w="70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p>
        </w:tc>
        <w:tc>
          <w:tcPr>
            <w:tcW w:w="733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Profit for the year</w:t>
            </w:r>
          </w:p>
        </w:tc>
        <w:tc>
          <w:tcPr>
            <w:tcW w:w="1418" w:type="dxa"/>
            <w:tcBorders>
              <w:top w:val="nil"/>
              <w:left w:val="nil"/>
              <w:bottom w:val="nil"/>
              <w:right w:val="nil"/>
            </w:tcBorders>
            <w:shd w:val="clear" w:color="auto" w:fill="auto"/>
            <w:noWrap/>
            <w:vAlign w:val="bottom"/>
          </w:tcPr>
          <w:p w:rsidR="00ED600C" w:rsidRPr="007049AF" w:rsidRDefault="00ED600C" w:rsidP="0072723F">
            <w:pPr>
              <w:spacing w:after="0" w:line="240" w:lineRule="auto"/>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2,633</w:t>
            </w:r>
          </w:p>
        </w:tc>
        <w:tc>
          <w:tcPr>
            <w:tcW w:w="1276"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color w:val="000000"/>
                <w:sz w:val="20"/>
                <w:szCs w:val="20"/>
                <w:lang w:eastAsia="en-GB"/>
              </w:rPr>
            </w:pPr>
            <w:r w:rsidRPr="00ED600C">
              <w:rPr>
                <w:rFonts w:ascii="Arial" w:eastAsia="Times New Roman" w:hAnsi="Arial" w:cs="Arial"/>
                <w:color w:val="000000"/>
                <w:sz w:val="20"/>
                <w:szCs w:val="20"/>
                <w:lang w:eastAsia="en-GB"/>
              </w:rPr>
              <w:t>1,604</w:t>
            </w:r>
          </w:p>
        </w:tc>
      </w:tr>
      <w:tr w:rsidR="00ED600C" w:rsidRPr="003B1452" w:rsidTr="00191DA8">
        <w:trPr>
          <w:trHeight w:val="295"/>
        </w:trPr>
        <w:tc>
          <w:tcPr>
            <w:tcW w:w="70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p>
        </w:tc>
        <w:tc>
          <w:tcPr>
            <w:tcW w:w="733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Change in fair value of available-for-sale financial assets</w:t>
            </w:r>
          </w:p>
        </w:tc>
        <w:tc>
          <w:tcPr>
            <w:tcW w:w="1418" w:type="dxa"/>
            <w:tcBorders>
              <w:top w:val="nil"/>
              <w:left w:val="nil"/>
              <w:bottom w:val="nil"/>
              <w:right w:val="nil"/>
            </w:tcBorders>
            <w:shd w:val="clear" w:color="auto" w:fill="auto"/>
            <w:noWrap/>
            <w:vAlign w:val="bottom"/>
          </w:tcPr>
          <w:p w:rsidR="00ED600C" w:rsidRPr="007049AF" w:rsidRDefault="00ED600C" w:rsidP="00EF5725">
            <w:pPr>
              <w:spacing w:after="0" w:line="240" w:lineRule="auto"/>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(129)</w:t>
            </w:r>
          </w:p>
        </w:tc>
        <w:tc>
          <w:tcPr>
            <w:tcW w:w="1276"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color w:val="000000"/>
                <w:sz w:val="20"/>
                <w:szCs w:val="20"/>
                <w:lang w:eastAsia="en-GB"/>
              </w:rPr>
            </w:pPr>
            <w:r w:rsidRPr="00ED600C">
              <w:rPr>
                <w:rFonts w:ascii="Arial" w:eastAsia="Times New Roman" w:hAnsi="Arial" w:cs="Arial"/>
                <w:color w:val="000000"/>
                <w:sz w:val="20"/>
                <w:szCs w:val="20"/>
                <w:lang w:eastAsia="en-GB"/>
              </w:rPr>
              <w:t>(4,873)</w:t>
            </w:r>
          </w:p>
        </w:tc>
      </w:tr>
      <w:tr w:rsidR="00ED600C" w:rsidRPr="003B1452" w:rsidTr="00191DA8">
        <w:trPr>
          <w:trHeight w:val="295"/>
        </w:trPr>
        <w:tc>
          <w:tcPr>
            <w:tcW w:w="70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p>
        </w:tc>
        <w:tc>
          <w:tcPr>
            <w:tcW w:w="733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Transfer to the income statement on sale of available-for-sale equity securities</w:t>
            </w:r>
          </w:p>
        </w:tc>
        <w:tc>
          <w:tcPr>
            <w:tcW w:w="1418" w:type="dxa"/>
            <w:tcBorders>
              <w:top w:val="nil"/>
              <w:left w:val="nil"/>
              <w:bottom w:val="nil"/>
              <w:right w:val="nil"/>
            </w:tcBorders>
            <w:shd w:val="clear" w:color="auto" w:fill="auto"/>
            <w:noWrap/>
            <w:vAlign w:val="bottom"/>
          </w:tcPr>
          <w:p w:rsidR="00ED600C" w:rsidRPr="007049AF" w:rsidRDefault="00ED600C" w:rsidP="00EF5725">
            <w:pPr>
              <w:spacing w:after="0" w:line="240" w:lineRule="auto"/>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w:t>
            </w:r>
          </w:p>
        </w:tc>
        <w:tc>
          <w:tcPr>
            <w:tcW w:w="1276"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color w:val="000000"/>
                <w:sz w:val="20"/>
                <w:szCs w:val="20"/>
                <w:lang w:eastAsia="en-GB"/>
              </w:rPr>
            </w:pPr>
            <w:r w:rsidRPr="00ED600C">
              <w:rPr>
                <w:rFonts w:ascii="Arial" w:eastAsia="Times New Roman" w:hAnsi="Arial" w:cs="Arial"/>
                <w:color w:val="000000"/>
                <w:sz w:val="20"/>
                <w:szCs w:val="20"/>
                <w:lang w:eastAsia="en-GB"/>
              </w:rPr>
              <w:t>(521)</w:t>
            </w:r>
          </w:p>
        </w:tc>
      </w:tr>
      <w:tr w:rsidR="00ED600C" w:rsidRPr="003B1452" w:rsidTr="00191DA8">
        <w:trPr>
          <w:trHeight w:val="295"/>
        </w:trPr>
        <w:tc>
          <w:tcPr>
            <w:tcW w:w="70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p>
        </w:tc>
        <w:tc>
          <w:tcPr>
            <w:tcW w:w="7338" w:type="dxa"/>
            <w:tcBorders>
              <w:top w:val="nil"/>
              <w:left w:val="nil"/>
              <w:right w:val="nil"/>
            </w:tcBorders>
            <w:shd w:val="clear" w:color="auto" w:fill="auto"/>
            <w:noWrap/>
            <w:vAlign w:val="bottom"/>
          </w:tcPr>
          <w:p w:rsidR="00ED600C" w:rsidRDefault="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Actu</w:t>
            </w:r>
            <w:r>
              <w:rPr>
                <w:rFonts w:ascii="Arial" w:eastAsia="Times New Roman" w:hAnsi="Arial" w:cs="Arial"/>
                <w:sz w:val="20"/>
                <w:szCs w:val="20"/>
                <w:lang w:eastAsia="en-GB"/>
              </w:rPr>
              <w:t>a</w:t>
            </w:r>
            <w:r w:rsidRPr="003B1452">
              <w:rPr>
                <w:rFonts w:ascii="Arial" w:eastAsia="Times New Roman" w:hAnsi="Arial" w:cs="Arial"/>
                <w:sz w:val="20"/>
                <w:szCs w:val="20"/>
                <w:lang w:eastAsia="en-GB"/>
              </w:rPr>
              <w:t xml:space="preserve">rial </w:t>
            </w:r>
            <w:r>
              <w:rPr>
                <w:rFonts w:ascii="Arial" w:eastAsia="Times New Roman" w:hAnsi="Arial" w:cs="Arial"/>
                <w:sz w:val="20"/>
                <w:szCs w:val="20"/>
                <w:lang w:eastAsia="en-GB"/>
              </w:rPr>
              <w:t>loss</w:t>
            </w:r>
            <w:r w:rsidRPr="003B1452">
              <w:rPr>
                <w:rFonts w:ascii="Arial" w:eastAsia="Times New Roman" w:hAnsi="Arial" w:cs="Arial"/>
                <w:sz w:val="20"/>
                <w:szCs w:val="20"/>
                <w:lang w:eastAsia="en-GB"/>
              </w:rPr>
              <w:t xml:space="preserve"> on pension net of tax</w:t>
            </w:r>
          </w:p>
        </w:tc>
        <w:tc>
          <w:tcPr>
            <w:tcW w:w="1418" w:type="dxa"/>
            <w:tcBorders>
              <w:top w:val="nil"/>
              <w:left w:val="nil"/>
              <w:right w:val="nil"/>
            </w:tcBorders>
            <w:shd w:val="clear" w:color="auto" w:fill="auto"/>
            <w:noWrap/>
            <w:vAlign w:val="bottom"/>
          </w:tcPr>
          <w:p w:rsidR="00ED600C" w:rsidRPr="007049AF" w:rsidRDefault="00ED600C" w:rsidP="00EF5725">
            <w:pPr>
              <w:spacing w:after="0" w:line="240" w:lineRule="auto"/>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100</w:t>
            </w:r>
          </w:p>
        </w:tc>
        <w:tc>
          <w:tcPr>
            <w:tcW w:w="1276" w:type="dxa"/>
            <w:tcBorders>
              <w:top w:val="nil"/>
              <w:left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color w:val="000000"/>
                <w:sz w:val="20"/>
                <w:szCs w:val="20"/>
                <w:lang w:eastAsia="en-GB"/>
              </w:rPr>
            </w:pPr>
            <w:r w:rsidRPr="00ED600C">
              <w:rPr>
                <w:rFonts w:ascii="Arial" w:eastAsia="Times New Roman" w:hAnsi="Arial" w:cs="Arial"/>
                <w:color w:val="000000"/>
                <w:sz w:val="20"/>
                <w:szCs w:val="20"/>
                <w:lang w:eastAsia="en-GB"/>
              </w:rPr>
              <w:t>(189)</w:t>
            </w:r>
          </w:p>
        </w:tc>
      </w:tr>
      <w:tr w:rsidR="00ED600C" w:rsidRPr="003B1452" w:rsidTr="00191DA8">
        <w:trPr>
          <w:trHeight w:val="295"/>
        </w:trPr>
        <w:tc>
          <w:tcPr>
            <w:tcW w:w="70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p>
        </w:tc>
        <w:tc>
          <w:tcPr>
            <w:tcW w:w="7338" w:type="dxa"/>
            <w:tcBorders>
              <w:top w:val="nil"/>
              <w:left w:val="nil"/>
              <w:bottom w:val="single" w:sz="4" w:space="0" w:color="auto"/>
              <w:right w:val="nil"/>
            </w:tcBorders>
            <w:shd w:val="clear" w:color="auto" w:fill="auto"/>
            <w:noWrap/>
            <w:vAlign w:val="bottom"/>
          </w:tcPr>
          <w:p w:rsidR="00ED600C" w:rsidRPr="003B1452" w:rsidRDefault="00ED600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Effect of tax rate changes to deferred tax asset relating pension schemes</w:t>
            </w:r>
          </w:p>
        </w:tc>
        <w:tc>
          <w:tcPr>
            <w:tcW w:w="1418" w:type="dxa"/>
            <w:tcBorders>
              <w:top w:val="nil"/>
              <w:left w:val="nil"/>
              <w:bottom w:val="single" w:sz="4" w:space="0" w:color="auto"/>
              <w:right w:val="nil"/>
            </w:tcBorders>
            <w:shd w:val="clear" w:color="auto" w:fill="auto"/>
            <w:noWrap/>
            <w:vAlign w:val="bottom"/>
          </w:tcPr>
          <w:p w:rsidR="00ED600C" w:rsidRPr="007049AF" w:rsidRDefault="00ED600C" w:rsidP="00EF5725">
            <w:pPr>
              <w:spacing w:after="0" w:line="240" w:lineRule="auto"/>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w:t>
            </w:r>
          </w:p>
        </w:tc>
        <w:tc>
          <w:tcPr>
            <w:tcW w:w="1276" w:type="dxa"/>
            <w:tcBorders>
              <w:top w:val="nil"/>
              <w:left w:val="nil"/>
              <w:bottom w:val="single" w:sz="4" w:space="0" w:color="auto"/>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color w:val="000000"/>
                <w:sz w:val="20"/>
                <w:szCs w:val="20"/>
                <w:lang w:eastAsia="en-GB"/>
              </w:rPr>
            </w:pPr>
            <w:r w:rsidRPr="00ED600C">
              <w:rPr>
                <w:rFonts w:ascii="Arial" w:eastAsia="Times New Roman" w:hAnsi="Arial" w:cs="Arial"/>
                <w:color w:val="000000"/>
                <w:sz w:val="20"/>
                <w:szCs w:val="20"/>
                <w:lang w:eastAsia="en-GB"/>
              </w:rPr>
              <w:t>47</w:t>
            </w:r>
          </w:p>
        </w:tc>
      </w:tr>
      <w:tr w:rsidR="00ED600C" w:rsidRPr="003B1452" w:rsidTr="00191DA8">
        <w:trPr>
          <w:trHeight w:val="295"/>
        </w:trPr>
        <w:tc>
          <w:tcPr>
            <w:tcW w:w="70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p>
        </w:tc>
        <w:tc>
          <w:tcPr>
            <w:tcW w:w="7338" w:type="dxa"/>
            <w:tcBorders>
              <w:top w:val="single" w:sz="4" w:space="0" w:color="auto"/>
              <w:left w:val="nil"/>
              <w:bottom w:val="nil"/>
              <w:right w:val="nil"/>
            </w:tcBorders>
            <w:shd w:val="clear" w:color="auto" w:fill="auto"/>
            <w:noWrap/>
            <w:vAlign w:val="bottom"/>
          </w:tcPr>
          <w:p w:rsidR="00ED600C" w:rsidRDefault="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 xml:space="preserve">Total comprehensive </w:t>
            </w:r>
            <w:r>
              <w:rPr>
                <w:rFonts w:ascii="Arial" w:eastAsia="Times New Roman" w:hAnsi="Arial" w:cs="Arial"/>
                <w:sz w:val="20"/>
                <w:szCs w:val="20"/>
                <w:lang w:eastAsia="en-GB"/>
              </w:rPr>
              <w:t>expense</w:t>
            </w:r>
          </w:p>
        </w:tc>
        <w:tc>
          <w:tcPr>
            <w:tcW w:w="1418" w:type="dxa"/>
            <w:tcBorders>
              <w:top w:val="single" w:sz="4" w:space="0" w:color="auto"/>
              <w:left w:val="nil"/>
              <w:bottom w:val="nil"/>
              <w:right w:val="nil"/>
            </w:tcBorders>
            <w:shd w:val="clear" w:color="auto" w:fill="auto"/>
            <w:noWrap/>
            <w:vAlign w:val="bottom"/>
          </w:tcPr>
          <w:p w:rsidR="00ED600C" w:rsidRPr="007049AF" w:rsidRDefault="00ED600C" w:rsidP="0031169F">
            <w:pPr>
              <w:spacing w:after="0" w:line="240" w:lineRule="auto"/>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2,604</w:t>
            </w:r>
          </w:p>
        </w:tc>
        <w:tc>
          <w:tcPr>
            <w:tcW w:w="1276" w:type="dxa"/>
            <w:tcBorders>
              <w:top w:val="single" w:sz="4" w:space="0" w:color="auto"/>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color w:val="000000"/>
                <w:sz w:val="20"/>
                <w:szCs w:val="20"/>
                <w:lang w:eastAsia="en-GB"/>
              </w:rPr>
            </w:pPr>
            <w:r w:rsidRPr="00ED600C">
              <w:rPr>
                <w:rFonts w:ascii="Arial" w:eastAsia="Times New Roman" w:hAnsi="Arial" w:cs="Arial"/>
                <w:color w:val="000000"/>
                <w:sz w:val="20"/>
                <w:szCs w:val="20"/>
                <w:lang w:eastAsia="en-GB"/>
              </w:rPr>
              <w:t>(3,932)</w:t>
            </w:r>
          </w:p>
        </w:tc>
      </w:tr>
      <w:tr w:rsidR="00ED600C" w:rsidRPr="003B1452" w:rsidTr="00191DA8">
        <w:trPr>
          <w:trHeight w:val="295"/>
        </w:trPr>
        <w:tc>
          <w:tcPr>
            <w:tcW w:w="70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p>
        </w:tc>
        <w:tc>
          <w:tcPr>
            <w:tcW w:w="733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Dividends paid</w:t>
            </w:r>
          </w:p>
        </w:tc>
        <w:tc>
          <w:tcPr>
            <w:tcW w:w="1418" w:type="dxa"/>
            <w:tcBorders>
              <w:top w:val="nil"/>
              <w:left w:val="nil"/>
              <w:bottom w:val="nil"/>
              <w:right w:val="nil"/>
            </w:tcBorders>
            <w:shd w:val="clear" w:color="auto" w:fill="auto"/>
            <w:noWrap/>
            <w:vAlign w:val="bottom"/>
          </w:tcPr>
          <w:p w:rsidR="00ED600C" w:rsidRPr="007049AF" w:rsidRDefault="00ED600C" w:rsidP="00EF5725">
            <w:pPr>
              <w:spacing w:after="0" w:line="240" w:lineRule="auto"/>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(1,423)</w:t>
            </w:r>
          </w:p>
        </w:tc>
        <w:tc>
          <w:tcPr>
            <w:tcW w:w="1276"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color w:val="000000"/>
                <w:sz w:val="20"/>
                <w:szCs w:val="20"/>
                <w:lang w:eastAsia="en-GB"/>
              </w:rPr>
            </w:pPr>
            <w:r w:rsidRPr="00ED600C">
              <w:rPr>
                <w:rFonts w:ascii="Arial" w:eastAsia="Times New Roman" w:hAnsi="Arial" w:cs="Arial"/>
                <w:color w:val="000000"/>
                <w:sz w:val="20"/>
                <w:szCs w:val="20"/>
                <w:lang w:eastAsia="en-GB"/>
              </w:rPr>
              <w:t>(1,362)</w:t>
            </w:r>
          </w:p>
        </w:tc>
      </w:tr>
      <w:tr w:rsidR="00ED600C" w:rsidRPr="003B1452" w:rsidTr="00ED600C">
        <w:trPr>
          <w:trHeight w:val="295"/>
        </w:trPr>
        <w:tc>
          <w:tcPr>
            <w:tcW w:w="708" w:type="dxa"/>
            <w:tcBorders>
              <w:top w:val="nil"/>
              <w:left w:val="nil"/>
              <w:bottom w:val="nil"/>
              <w:right w:val="nil"/>
            </w:tcBorders>
            <w:shd w:val="clear" w:color="auto" w:fill="auto"/>
            <w:noWrap/>
            <w:vAlign w:val="bottom"/>
          </w:tcPr>
          <w:p w:rsidR="00ED600C" w:rsidRPr="003B1452" w:rsidRDefault="00ED600C" w:rsidP="00ED600C">
            <w:pPr>
              <w:spacing w:after="0" w:line="240" w:lineRule="auto"/>
              <w:rPr>
                <w:rFonts w:ascii="Arial" w:eastAsia="Times New Roman" w:hAnsi="Arial" w:cs="Arial"/>
                <w:sz w:val="20"/>
                <w:szCs w:val="20"/>
                <w:lang w:eastAsia="en-GB"/>
              </w:rPr>
            </w:pPr>
          </w:p>
        </w:tc>
        <w:tc>
          <w:tcPr>
            <w:tcW w:w="7338" w:type="dxa"/>
            <w:tcBorders>
              <w:top w:val="nil"/>
              <w:left w:val="nil"/>
              <w:bottom w:val="nil"/>
              <w:right w:val="nil"/>
            </w:tcBorders>
            <w:shd w:val="clear" w:color="auto" w:fill="auto"/>
            <w:noWrap/>
            <w:vAlign w:val="bottom"/>
          </w:tcPr>
          <w:p w:rsidR="00ED600C" w:rsidRPr="003B1452" w:rsidRDefault="00ED600C" w:rsidP="00ED600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Net Treasury share movements</w:t>
            </w:r>
          </w:p>
        </w:tc>
        <w:tc>
          <w:tcPr>
            <w:tcW w:w="1418" w:type="dxa"/>
            <w:tcBorders>
              <w:top w:val="nil"/>
              <w:left w:val="nil"/>
              <w:bottom w:val="nil"/>
              <w:right w:val="nil"/>
            </w:tcBorders>
            <w:shd w:val="clear" w:color="auto" w:fill="auto"/>
            <w:noWrap/>
            <w:vAlign w:val="bottom"/>
          </w:tcPr>
          <w:p w:rsidR="00ED600C" w:rsidRPr="007049AF" w:rsidRDefault="00ED600C" w:rsidP="00ED600C">
            <w:pPr>
              <w:spacing w:after="0" w:line="240" w:lineRule="auto"/>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(126)</w:t>
            </w:r>
          </w:p>
        </w:tc>
        <w:tc>
          <w:tcPr>
            <w:tcW w:w="1276" w:type="dxa"/>
            <w:tcBorders>
              <w:top w:val="nil"/>
              <w:left w:val="nil"/>
              <w:bottom w:val="nil"/>
              <w:right w:val="nil"/>
            </w:tcBorders>
            <w:shd w:val="clear" w:color="auto" w:fill="auto"/>
            <w:noWrap/>
            <w:vAlign w:val="bottom"/>
          </w:tcPr>
          <w:p w:rsidR="00ED600C" w:rsidRPr="00ED600C" w:rsidRDefault="00C7435B" w:rsidP="00ED600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r>
      <w:tr w:rsidR="00ED600C" w:rsidRPr="003B1452" w:rsidTr="00191DA8">
        <w:trPr>
          <w:trHeight w:val="295"/>
        </w:trPr>
        <w:tc>
          <w:tcPr>
            <w:tcW w:w="70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p>
        </w:tc>
        <w:tc>
          <w:tcPr>
            <w:tcW w:w="733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Proceeds from the issue of share capital</w:t>
            </w:r>
          </w:p>
        </w:tc>
        <w:tc>
          <w:tcPr>
            <w:tcW w:w="1418" w:type="dxa"/>
            <w:tcBorders>
              <w:top w:val="nil"/>
              <w:left w:val="nil"/>
              <w:bottom w:val="nil"/>
              <w:right w:val="nil"/>
            </w:tcBorders>
            <w:shd w:val="clear" w:color="auto" w:fill="auto"/>
            <w:noWrap/>
            <w:vAlign w:val="bottom"/>
          </w:tcPr>
          <w:p w:rsidR="00ED600C" w:rsidRPr="007049AF" w:rsidRDefault="00ED600C" w:rsidP="00EF5725">
            <w:pPr>
              <w:spacing w:after="0" w:line="240" w:lineRule="auto"/>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w:t>
            </w:r>
          </w:p>
        </w:tc>
        <w:tc>
          <w:tcPr>
            <w:tcW w:w="1276"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color w:val="000000"/>
                <w:sz w:val="20"/>
                <w:szCs w:val="20"/>
                <w:lang w:eastAsia="en-GB"/>
              </w:rPr>
            </w:pPr>
            <w:r w:rsidRPr="00ED600C">
              <w:rPr>
                <w:rFonts w:ascii="Arial" w:eastAsia="Times New Roman" w:hAnsi="Arial" w:cs="Arial"/>
                <w:color w:val="000000"/>
                <w:sz w:val="20"/>
                <w:szCs w:val="20"/>
                <w:lang w:eastAsia="en-GB"/>
              </w:rPr>
              <w:t>9,889</w:t>
            </w:r>
          </w:p>
        </w:tc>
      </w:tr>
      <w:tr w:rsidR="00ED600C" w:rsidRPr="003B1452" w:rsidTr="00191DA8">
        <w:trPr>
          <w:trHeight w:val="295"/>
        </w:trPr>
        <w:tc>
          <w:tcPr>
            <w:tcW w:w="708" w:type="dxa"/>
            <w:tcBorders>
              <w:top w:val="nil"/>
              <w:left w:val="nil"/>
              <w:bottom w:val="nil"/>
              <w:right w:val="nil"/>
            </w:tcBorders>
            <w:shd w:val="clear" w:color="auto" w:fill="auto"/>
            <w:noWrap/>
            <w:vAlign w:val="bottom"/>
          </w:tcPr>
          <w:p w:rsidR="00ED600C" w:rsidRPr="003B1452" w:rsidRDefault="00ED600C" w:rsidP="00DD3B38">
            <w:pPr>
              <w:spacing w:after="0" w:line="240" w:lineRule="auto"/>
              <w:rPr>
                <w:rFonts w:ascii="Arial" w:eastAsia="Times New Roman" w:hAnsi="Arial" w:cs="Arial"/>
                <w:sz w:val="20"/>
                <w:szCs w:val="20"/>
                <w:lang w:eastAsia="en-GB"/>
              </w:rPr>
            </w:pPr>
          </w:p>
        </w:tc>
        <w:tc>
          <w:tcPr>
            <w:tcW w:w="7338" w:type="dxa"/>
            <w:tcBorders>
              <w:top w:val="nil"/>
              <w:left w:val="nil"/>
              <w:bottom w:val="nil"/>
              <w:right w:val="nil"/>
            </w:tcBorders>
            <w:shd w:val="clear" w:color="auto" w:fill="auto"/>
            <w:noWrap/>
            <w:vAlign w:val="bottom"/>
          </w:tcPr>
          <w:p w:rsidR="00ED600C" w:rsidRPr="003B1452" w:rsidRDefault="00ED600C" w:rsidP="00DD3B38">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Share-based payments</w:t>
            </w:r>
          </w:p>
        </w:tc>
        <w:tc>
          <w:tcPr>
            <w:tcW w:w="1418" w:type="dxa"/>
            <w:tcBorders>
              <w:top w:val="nil"/>
              <w:left w:val="nil"/>
              <w:bottom w:val="nil"/>
              <w:right w:val="nil"/>
            </w:tcBorders>
            <w:shd w:val="clear" w:color="auto" w:fill="auto"/>
            <w:noWrap/>
            <w:vAlign w:val="bottom"/>
          </w:tcPr>
          <w:p w:rsidR="00ED600C" w:rsidRPr="007049AF" w:rsidRDefault="00ED600C" w:rsidP="00DD3B38">
            <w:pPr>
              <w:spacing w:after="0" w:line="240" w:lineRule="auto"/>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43</w:t>
            </w:r>
          </w:p>
        </w:tc>
        <w:tc>
          <w:tcPr>
            <w:tcW w:w="1276"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color w:val="000000"/>
                <w:sz w:val="20"/>
                <w:szCs w:val="20"/>
                <w:lang w:eastAsia="en-GB"/>
              </w:rPr>
            </w:pPr>
            <w:r w:rsidRPr="00ED600C">
              <w:rPr>
                <w:rFonts w:ascii="Arial" w:eastAsia="Times New Roman" w:hAnsi="Arial" w:cs="Arial"/>
                <w:color w:val="000000"/>
                <w:sz w:val="20"/>
                <w:szCs w:val="20"/>
                <w:lang w:eastAsia="en-GB"/>
              </w:rPr>
              <w:t>196</w:t>
            </w:r>
          </w:p>
        </w:tc>
      </w:tr>
      <w:tr w:rsidR="00ED600C" w:rsidRPr="003B1452" w:rsidTr="00191DA8">
        <w:trPr>
          <w:trHeight w:val="295"/>
        </w:trPr>
        <w:tc>
          <w:tcPr>
            <w:tcW w:w="70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p>
        </w:tc>
        <w:tc>
          <w:tcPr>
            <w:tcW w:w="733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noWrap/>
            <w:vAlign w:val="bottom"/>
          </w:tcPr>
          <w:p w:rsidR="00ED600C" w:rsidRPr="007049AF" w:rsidRDefault="00ED600C" w:rsidP="00EF5725">
            <w:pPr>
              <w:spacing w:after="0" w:line="240" w:lineRule="auto"/>
              <w:rPr>
                <w:rFonts w:ascii="Arial" w:eastAsia="Times New Roman" w:hAnsi="Arial" w:cs="Arial"/>
                <w:b/>
                <w:color w:val="000000"/>
                <w:sz w:val="20"/>
                <w:szCs w:val="20"/>
                <w:lang w:eastAsia="en-GB"/>
              </w:rPr>
            </w:pPr>
          </w:p>
        </w:tc>
        <w:tc>
          <w:tcPr>
            <w:tcW w:w="1276" w:type="dxa"/>
            <w:tcBorders>
              <w:top w:val="nil"/>
              <w:left w:val="nil"/>
              <w:bottom w:val="nil"/>
              <w:right w:val="nil"/>
            </w:tcBorders>
            <w:shd w:val="clear" w:color="auto" w:fill="auto"/>
            <w:noWrap/>
            <w:vAlign w:val="bottom"/>
          </w:tcPr>
          <w:p w:rsidR="00ED600C" w:rsidRPr="00ED600C" w:rsidRDefault="00ED600C" w:rsidP="00ED600C">
            <w:pPr>
              <w:spacing w:after="0" w:line="240" w:lineRule="auto"/>
              <w:rPr>
                <w:rFonts w:ascii="Arial" w:eastAsia="Times New Roman" w:hAnsi="Arial" w:cs="Arial"/>
                <w:color w:val="000000"/>
                <w:sz w:val="20"/>
                <w:szCs w:val="20"/>
                <w:lang w:eastAsia="en-GB"/>
              </w:rPr>
            </w:pPr>
          </w:p>
        </w:tc>
      </w:tr>
      <w:tr w:rsidR="00ED600C" w:rsidRPr="003B1452" w:rsidTr="00191DA8">
        <w:trPr>
          <w:trHeight w:val="295"/>
        </w:trPr>
        <w:tc>
          <w:tcPr>
            <w:tcW w:w="708" w:type="dxa"/>
            <w:tcBorders>
              <w:top w:val="nil"/>
              <w:left w:val="nil"/>
              <w:bottom w:val="nil"/>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sz w:val="20"/>
                <w:szCs w:val="20"/>
                <w:lang w:eastAsia="en-GB"/>
              </w:rPr>
            </w:pPr>
          </w:p>
        </w:tc>
        <w:tc>
          <w:tcPr>
            <w:tcW w:w="7338" w:type="dxa"/>
            <w:tcBorders>
              <w:top w:val="single" w:sz="4" w:space="0" w:color="auto"/>
              <w:left w:val="nil"/>
              <w:bottom w:val="single" w:sz="4" w:space="0" w:color="auto"/>
              <w:right w:val="nil"/>
            </w:tcBorders>
            <w:shd w:val="clear" w:color="auto" w:fill="auto"/>
            <w:noWrap/>
            <w:vAlign w:val="bottom"/>
          </w:tcPr>
          <w:p w:rsidR="00ED600C" w:rsidRPr="003B1452" w:rsidRDefault="00ED600C" w:rsidP="00EF5725">
            <w:pPr>
              <w:spacing w:after="0" w:line="240" w:lineRule="auto"/>
              <w:rPr>
                <w:rFonts w:ascii="Arial" w:eastAsia="Times New Roman" w:hAnsi="Arial" w:cs="Arial"/>
                <w:b/>
                <w:bCs/>
                <w:sz w:val="20"/>
                <w:szCs w:val="20"/>
                <w:lang w:eastAsia="en-GB"/>
              </w:rPr>
            </w:pPr>
            <w:r w:rsidRPr="003B1452">
              <w:rPr>
                <w:rFonts w:ascii="Arial" w:eastAsia="Times New Roman" w:hAnsi="Arial" w:cs="Arial"/>
                <w:b/>
                <w:bCs/>
                <w:sz w:val="20"/>
                <w:szCs w:val="20"/>
                <w:lang w:eastAsia="en-GB"/>
              </w:rPr>
              <w:t>Shareholders' funds at the end of the period</w:t>
            </w:r>
          </w:p>
        </w:tc>
        <w:tc>
          <w:tcPr>
            <w:tcW w:w="1418" w:type="dxa"/>
            <w:tcBorders>
              <w:top w:val="single" w:sz="4" w:space="0" w:color="auto"/>
              <w:left w:val="nil"/>
              <w:bottom w:val="single" w:sz="4" w:space="0" w:color="auto"/>
              <w:right w:val="nil"/>
            </w:tcBorders>
            <w:shd w:val="clear" w:color="auto" w:fill="auto"/>
            <w:noWrap/>
            <w:vAlign w:val="bottom"/>
          </w:tcPr>
          <w:p w:rsidR="00ED600C" w:rsidRPr="007049AF" w:rsidRDefault="00ED600C" w:rsidP="00984CAC">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35,377</w:t>
            </w:r>
          </w:p>
        </w:tc>
        <w:tc>
          <w:tcPr>
            <w:tcW w:w="1276" w:type="dxa"/>
            <w:tcBorders>
              <w:top w:val="single" w:sz="4" w:space="0" w:color="auto"/>
              <w:left w:val="nil"/>
              <w:bottom w:val="single" w:sz="4" w:space="0" w:color="auto"/>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bCs/>
                <w:color w:val="000000"/>
                <w:sz w:val="20"/>
                <w:szCs w:val="20"/>
                <w:lang w:eastAsia="en-GB"/>
              </w:rPr>
            </w:pPr>
            <w:r w:rsidRPr="00ED600C">
              <w:rPr>
                <w:rFonts w:ascii="Arial" w:eastAsia="Times New Roman" w:hAnsi="Arial" w:cs="Arial"/>
                <w:bCs/>
                <w:color w:val="000000"/>
                <w:sz w:val="20"/>
                <w:szCs w:val="20"/>
                <w:lang w:eastAsia="en-GB"/>
              </w:rPr>
              <w:t>34,279</w:t>
            </w:r>
          </w:p>
        </w:tc>
      </w:tr>
    </w:tbl>
    <w:p w:rsidR="007F34F2" w:rsidRPr="008D1AED" w:rsidRDefault="007F34F2" w:rsidP="00060DA7">
      <w:pPr>
        <w:spacing w:after="0" w:line="240" w:lineRule="auto"/>
        <w:jc w:val="both"/>
        <w:rPr>
          <w:rFonts w:ascii="Arial" w:hAnsi="Arial" w:cs="Arial"/>
          <w:b/>
          <w:sz w:val="16"/>
          <w:szCs w:val="16"/>
        </w:rPr>
      </w:pPr>
    </w:p>
    <w:p w:rsidR="000F73D2" w:rsidRPr="004B7139" w:rsidRDefault="000F73D2" w:rsidP="00060DA7">
      <w:pPr>
        <w:spacing w:after="0" w:line="240" w:lineRule="auto"/>
        <w:jc w:val="both"/>
        <w:rPr>
          <w:rFonts w:ascii="Arial" w:hAnsi="Arial" w:cs="Arial"/>
          <w:b/>
          <w:sz w:val="20"/>
          <w:szCs w:val="20"/>
        </w:rPr>
      </w:pPr>
    </w:p>
    <w:p w:rsidR="00181191" w:rsidRDefault="00181191" w:rsidP="00060DA7">
      <w:pPr>
        <w:spacing w:after="0" w:line="240" w:lineRule="auto"/>
        <w:jc w:val="both"/>
        <w:rPr>
          <w:rFonts w:ascii="Arial" w:hAnsi="Arial" w:cs="Arial"/>
          <w:b/>
          <w:sz w:val="20"/>
          <w:szCs w:val="20"/>
        </w:rPr>
      </w:pPr>
    </w:p>
    <w:p w:rsidR="004B7139" w:rsidRDefault="004B7139">
      <w:pPr>
        <w:spacing w:after="0" w:line="240" w:lineRule="auto"/>
        <w:rPr>
          <w:rFonts w:ascii="Arial" w:hAnsi="Arial" w:cs="Arial"/>
          <w:b/>
          <w:sz w:val="20"/>
          <w:szCs w:val="20"/>
        </w:rPr>
      </w:pPr>
      <w:r>
        <w:rPr>
          <w:rFonts w:ascii="Arial" w:hAnsi="Arial" w:cs="Arial"/>
          <w:b/>
          <w:sz w:val="20"/>
          <w:szCs w:val="20"/>
        </w:rPr>
        <w:br w:type="page"/>
      </w:r>
    </w:p>
    <w:p w:rsidR="007F34F2" w:rsidRPr="00CB361F" w:rsidRDefault="007F34F2" w:rsidP="00060DA7">
      <w:pPr>
        <w:spacing w:after="0" w:line="240" w:lineRule="auto"/>
        <w:jc w:val="both"/>
        <w:rPr>
          <w:rFonts w:ascii="Arial" w:hAnsi="Arial" w:cs="Arial"/>
          <w:b/>
          <w:sz w:val="20"/>
          <w:szCs w:val="20"/>
        </w:rPr>
      </w:pPr>
      <w:r w:rsidRPr="00CB361F">
        <w:rPr>
          <w:rFonts w:ascii="Arial" w:hAnsi="Arial" w:cs="Arial"/>
          <w:b/>
          <w:sz w:val="20"/>
          <w:szCs w:val="20"/>
        </w:rPr>
        <w:t>NOTES</w:t>
      </w:r>
    </w:p>
    <w:p w:rsidR="007F34F2" w:rsidRDefault="007F34F2" w:rsidP="00060DA7">
      <w:pPr>
        <w:spacing w:after="0" w:line="240" w:lineRule="auto"/>
        <w:rPr>
          <w:sz w:val="20"/>
          <w:szCs w:val="20"/>
        </w:rPr>
      </w:pPr>
    </w:p>
    <w:p w:rsidR="00BF2426" w:rsidRDefault="00BF2426" w:rsidP="00060DA7">
      <w:pPr>
        <w:spacing w:after="0" w:line="240" w:lineRule="auto"/>
        <w:rPr>
          <w:sz w:val="20"/>
          <w:szCs w:val="20"/>
        </w:rPr>
      </w:pPr>
    </w:p>
    <w:p w:rsidR="00BF2426" w:rsidRPr="0032540A" w:rsidRDefault="00BF2426" w:rsidP="00BF2426">
      <w:pPr>
        <w:rPr>
          <w:rFonts w:ascii="Arial" w:hAnsi="Arial" w:cs="Arial"/>
          <w:b/>
          <w:sz w:val="20"/>
          <w:szCs w:val="20"/>
        </w:rPr>
      </w:pPr>
      <w:r>
        <w:rPr>
          <w:rFonts w:ascii="Arial" w:hAnsi="Arial" w:cs="Arial"/>
          <w:b/>
          <w:sz w:val="20"/>
          <w:szCs w:val="20"/>
        </w:rPr>
        <w:t>1</w:t>
      </w:r>
      <w:r w:rsidRPr="0032540A">
        <w:rPr>
          <w:rFonts w:ascii="Arial" w:hAnsi="Arial" w:cs="Arial"/>
          <w:b/>
          <w:sz w:val="20"/>
          <w:szCs w:val="20"/>
        </w:rPr>
        <w:t>.  Basis of preparation</w:t>
      </w:r>
    </w:p>
    <w:p w:rsidR="00BF2426" w:rsidRPr="00A1273C" w:rsidRDefault="00BF2426" w:rsidP="00BF2426">
      <w:pPr>
        <w:pStyle w:val="NormalWeb"/>
        <w:rPr>
          <w:rFonts w:ascii="Arial" w:hAnsi="Arial" w:cs="Arial"/>
          <w:sz w:val="20"/>
          <w:szCs w:val="20"/>
        </w:rPr>
      </w:pPr>
      <w:r w:rsidRPr="00A1273C">
        <w:rPr>
          <w:rFonts w:ascii="Arial" w:hAnsi="Arial" w:cs="Arial"/>
          <w:sz w:val="20"/>
          <w:szCs w:val="20"/>
        </w:rPr>
        <w:t>The financial statements are presented in pounds sterling, rounded to the nearest hundred thousand pounds. They are prepared on the historical cos</w:t>
      </w:r>
      <w:r>
        <w:rPr>
          <w:rFonts w:ascii="Arial" w:hAnsi="Arial" w:cs="Arial"/>
          <w:sz w:val="20"/>
          <w:szCs w:val="20"/>
        </w:rPr>
        <w:t xml:space="preserve">t basis except that the shares in Falkland Oil and Gas Limited </w:t>
      </w:r>
      <w:r w:rsidRPr="00A1273C">
        <w:rPr>
          <w:rFonts w:ascii="Arial" w:hAnsi="Arial" w:cs="Arial"/>
          <w:sz w:val="20"/>
          <w:szCs w:val="20"/>
        </w:rPr>
        <w:t>are stated at their fair value.</w:t>
      </w:r>
    </w:p>
    <w:p w:rsidR="00BF2426" w:rsidRPr="00C15E0A" w:rsidRDefault="00BF2426" w:rsidP="00BF2426">
      <w:pPr>
        <w:pStyle w:val="NormalWeb"/>
        <w:rPr>
          <w:rFonts w:ascii="Arial" w:hAnsi="Arial" w:cs="Arial"/>
          <w:sz w:val="20"/>
          <w:szCs w:val="20"/>
        </w:rPr>
      </w:pPr>
      <w:r w:rsidRPr="00C15E0A">
        <w:rPr>
          <w:rFonts w:ascii="Arial" w:hAnsi="Arial" w:cs="Arial"/>
          <w:sz w:val="20"/>
          <w:szCs w:val="20"/>
        </w:rPr>
        <w:t>The following amendments and revisions to IFRSs which were effective for the first time</w:t>
      </w:r>
      <w:r w:rsidR="00ED600C">
        <w:rPr>
          <w:rFonts w:ascii="Arial" w:hAnsi="Arial" w:cs="Arial"/>
          <w:sz w:val="20"/>
          <w:szCs w:val="20"/>
        </w:rPr>
        <w:t xml:space="preserve"> in the year ended 31 March 2014</w:t>
      </w:r>
      <w:r w:rsidRPr="00C15E0A">
        <w:rPr>
          <w:rFonts w:ascii="Arial" w:hAnsi="Arial" w:cs="Arial"/>
          <w:sz w:val="20"/>
          <w:szCs w:val="20"/>
        </w:rPr>
        <w:t xml:space="preserve"> did not have any material impact on the consolidated financial statements:</w:t>
      </w:r>
    </w:p>
    <w:p w:rsidR="00BF2426" w:rsidRDefault="00BF2426" w:rsidP="00ED600C">
      <w:pPr>
        <w:pStyle w:val="NormalWeb"/>
        <w:spacing w:before="0" w:beforeAutospacing="0" w:after="0" w:afterAutospacing="0"/>
        <w:rPr>
          <w:rFonts w:ascii="Arial" w:hAnsi="Arial" w:cs="Arial"/>
          <w:sz w:val="20"/>
          <w:szCs w:val="20"/>
        </w:rPr>
      </w:pPr>
      <w:r>
        <w:rPr>
          <w:rFonts w:ascii="Arial" w:hAnsi="Arial" w:cs="Arial"/>
          <w:sz w:val="20"/>
          <w:szCs w:val="20"/>
        </w:rPr>
        <w:t>Amendments and revisions to IFRSs</w:t>
      </w:r>
    </w:p>
    <w:p w:rsidR="00BF2426" w:rsidRDefault="00BF2426" w:rsidP="00ED600C">
      <w:pPr>
        <w:pStyle w:val="NormalWeb"/>
        <w:spacing w:before="0" w:beforeAutospacing="0" w:after="0" w:afterAutospacing="0"/>
        <w:rPr>
          <w:rFonts w:ascii="Arial" w:hAnsi="Arial" w:cs="Arial"/>
          <w:sz w:val="20"/>
          <w:szCs w:val="20"/>
        </w:rPr>
      </w:pPr>
      <w:r>
        <w:rPr>
          <w:rFonts w:ascii="Arial" w:hAnsi="Arial" w:cs="Arial"/>
          <w:sz w:val="20"/>
          <w:szCs w:val="20"/>
        </w:rPr>
        <w:t>IFRS 7 Financial Instruments Disclosures</w:t>
      </w:r>
    </w:p>
    <w:p w:rsidR="00ED600C" w:rsidRDefault="00ED600C" w:rsidP="00ED600C">
      <w:pPr>
        <w:pStyle w:val="NormalWeb"/>
        <w:spacing w:before="0" w:beforeAutospacing="0" w:after="0" w:afterAutospacing="0"/>
        <w:rPr>
          <w:rFonts w:ascii="Arial" w:hAnsi="Arial" w:cs="Arial"/>
          <w:sz w:val="20"/>
          <w:szCs w:val="20"/>
        </w:rPr>
      </w:pPr>
      <w:r w:rsidRPr="00ED600C">
        <w:rPr>
          <w:rFonts w:ascii="Arial" w:hAnsi="Arial" w:cs="Arial"/>
          <w:sz w:val="20"/>
          <w:szCs w:val="20"/>
        </w:rPr>
        <w:t>IFRS 13 Fair Value Measurement</w:t>
      </w:r>
    </w:p>
    <w:p w:rsidR="00ED600C" w:rsidRDefault="00ED600C" w:rsidP="00ED600C">
      <w:pPr>
        <w:pStyle w:val="NormalWeb"/>
        <w:spacing w:before="0" w:beforeAutospacing="0" w:after="0" w:afterAutospacing="0"/>
        <w:rPr>
          <w:rFonts w:ascii="Arial" w:hAnsi="Arial" w:cs="Arial"/>
          <w:sz w:val="20"/>
          <w:szCs w:val="20"/>
        </w:rPr>
      </w:pPr>
      <w:r w:rsidRPr="00ED600C">
        <w:rPr>
          <w:rFonts w:ascii="Arial" w:hAnsi="Arial" w:cs="Arial"/>
          <w:sz w:val="20"/>
          <w:szCs w:val="20"/>
        </w:rPr>
        <w:t>IAS 19 Employee Benefits</w:t>
      </w:r>
    </w:p>
    <w:p w:rsidR="00ED600C" w:rsidRDefault="00ED600C" w:rsidP="00ED600C">
      <w:pPr>
        <w:pStyle w:val="NormalWeb"/>
        <w:spacing w:before="0" w:beforeAutospacing="0" w:after="0" w:afterAutospacing="0"/>
        <w:rPr>
          <w:rFonts w:ascii="Arial" w:hAnsi="Arial" w:cs="Arial"/>
          <w:sz w:val="20"/>
          <w:szCs w:val="20"/>
        </w:rPr>
      </w:pPr>
      <w:r w:rsidRPr="00ED600C">
        <w:rPr>
          <w:rFonts w:ascii="Arial" w:hAnsi="Arial" w:cs="Arial"/>
          <w:sz w:val="20"/>
          <w:szCs w:val="20"/>
        </w:rPr>
        <w:t>IAS 28 Investments in Associates and Joint Ventures</w:t>
      </w:r>
    </w:p>
    <w:p w:rsidR="00ED600C" w:rsidRDefault="00ED600C" w:rsidP="00ED600C">
      <w:pPr>
        <w:pStyle w:val="NormalWeb"/>
        <w:spacing w:before="0" w:beforeAutospacing="0" w:after="0" w:afterAutospacing="0"/>
        <w:jc w:val="both"/>
        <w:rPr>
          <w:rFonts w:ascii="Arial" w:hAnsi="Arial" w:cs="Arial"/>
          <w:sz w:val="20"/>
          <w:szCs w:val="20"/>
        </w:rPr>
      </w:pPr>
      <w:r w:rsidRPr="00ED600C">
        <w:rPr>
          <w:rFonts w:ascii="Arial" w:hAnsi="Arial" w:cs="Arial"/>
          <w:sz w:val="20"/>
          <w:szCs w:val="20"/>
        </w:rPr>
        <w:t>IAS 27 Separate Financial Statements</w:t>
      </w:r>
    </w:p>
    <w:p w:rsidR="00BA0B5D" w:rsidRDefault="00BF2426" w:rsidP="00ED600C">
      <w:pPr>
        <w:pStyle w:val="NormalWeb"/>
        <w:jc w:val="both"/>
        <w:rPr>
          <w:rFonts w:ascii="Arial" w:hAnsi="Arial" w:cs="Arial"/>
          <w:sz w:val="20"/>
          <w:szCs w:val="20"/>
        </w:rPr>
      </w:pPr>
      <w:r w:rsidRPr="00A1273C">
        <w:rPr>
          <w:rFonts w:ascii="Arial" w:hAnsi="Arial" w:cs="Arial"/>
          <w:sz w:val="20"/>
          <w:szCs w:val="20"/>
        </w:rPr>
        <w:t xml:space="preserve">At the date of authorisation of these financial statements, there are a number of Standards and Interpretations in issue but not yet effective </w:t>
      </w:r>
      <w:proofErr w:type="gramStart"/>
      <w:r w:rsidR="00302EEA">
        <w:rPr>
          <w:rFonts w:ascii="Arial" w:hAnsi="Arial" w:cs="Arial"/>
          <w:sz w:val="20"/>
          <w:szCs w:val="20"/>
        </w:rPr>
        <w:t>that</w:t>
      </w:r>
      <w:r w:rsidRPr="00A1273C">
        <w:rPr>
          <w:rFonts w:ascii="Arial" w:hAnsi="Arial" w:cs="Arial"/>
          <w:sz w:val="20"/>
          <w:szCs w:val="20"/>
        </w:rPr>
        <w:t xml:space="preserve"> have</w:t>
      </w:r>
      <w:proofErr w:type="gramEnd"/>
      <w:r w:rsidRPr="00A1273C">
        <w:rPr>
          <w:rFonts w:ascii="Arial" w:hAnsi="Arial" w:cs="Arial"/>
          <w:sz w:val="20"/>
          <w:szCs w:val="20"/>
        </w:rPr>
        <w:t xml:space="preserve"> therefore not yet been applied in these financial statements. The Directors anticipate that adoption of these Standards and Interpretations in future periods will have no material impact on the financial statements of the Group.</w:t>
      </w:r>
    </w:p>
    <w:p w:rsidR="00BF2426" w:rsidRPr="00A1273C" w:rsidRDefault="00BF2426" w:rsidP="00ED600C">
      <w:pPr>
        <w:pStyle w:val="NormalWeb"/>
        <w:jc w:val="both"/>
        <w:rPr>
          <w:rFonts w:ascii="Arial" w:hAnsi="Arial" w:cs="Arial"/>
          <w:sz w:val="20"/>
          <w:szCs w:val="20"/>
        </w:rPr>
      </w:pPr>
      <w:r w:rsidRPr="00A1273C">
        <w:rPr>
          <w:rFonts w:ascii="Arial" w:hAnsi="Arial" w:cs="Arial"/>
          <w:sz w:val="20"/>
          <w:szCs w:val="20"/>
        </w:rPr>
        <w:t xml:space="preserve">The financial information contained in this announcement was approved by the </w:t>
      </w:r>
      <w:r w:rsidRPr="00426D82">
        <w:rPr>
          <w:rFonts w:ascii="Arial" w:hAnsi="Arial" w:cs="Arial"/>
          <w:sz w:val="20"/>
          <w:szCs w:val="20"/>
        </w:rPr>
        <w:t xml:space="preserve">Board on </w:t>
      </w:r>
      <w:r w:rsidR="00ED600C">
        <w:rPr>
          <w:rFonts w:ascii="Arial" w:hAnsi="Arial" w:cs="Arial"/>
          <w:sz w:val="20"/>
          <w:szCs w:val="20"/>
        </w:rPr>
        <w:t>9</w:t>
      </w:r>
      <w:r w:rsidRPr="00426D82">
        <w:rPr>
          <w:rFonts w:ascii="Arial" w:hAnsi="Arial" w:cs="Arial"/>
          <w:sz w:val="20"/>
          <w:szCs w:val="20"/>
        </w:rPr>
        <w:t xml:space="preserve"> </w:t>
      </w:r>
      <w:r w:rsidR="00ED600C">
        <w:rPr>
          <w:rFonts w:ascii="Arial" w:hAnsi="Arial" w:cs="Arial"/>
          <w:sz w:val="20"/>
          <w:szCs w:val="20"/>
        </w:rPr>
        <w:t>June 2014</w:t>
      </w:r>
      <w:r w:rsidRPr="00426D82">
        <w:rPr>
          <w:rFonts w:ascii="Arial" w:hAnsi="Arial" w:cs="Arial"/>
          <w:sz w:val="20"/>
          <w:szCs w:val="20"/>
        </w:rPr>
        <w:t>.</w:t>
      </w:r>
      <w:r w:rsidRPr="00A1273C">
        <w:rPr>
          <w:rFonts w:ascii="Arial" w:hAnsi="Arial" w:cs="Arial"/>
          <w:sz w:val="20"/>
          <w:szCs w:val="20"/>
        </w:rPr>
        <w:t xml:space="preserve"> The information in this preliminary announcement does not constitute the statutory accounts of the Group within the meaning of Section 434 of the Companies Act 2006. The statutory accounts of Falkland Islands </w:t>
      </w:r>
      <w:r w:rsidR="00302EEA">
        <w:rPr>
          <w:rFonts w:ascii="Arial" w:hAnsi="Arial" w:cs="Arial"/>
          <w:sz w:val="20"/>
          <w:szCs w:val="20"/>
        </w:rPr>
        <w:t xml:space="preserve">Holdings </w:t>
      </w:r>
      <w:r w:rsidRPr="00A1273C">
        <w:rPr>
          <w:rFonts w:ascii="Arial" w:hAnsi="Arial" w:cs="Arial"/>
          <w:sz w:val="20"/>
          <w:szCs w:val="20"/>
        </w:rPr>
        <w:t xml:space="preserve">plc for the year ended 31 March </w:t>
      </w:r>
      <w:r w:rsidR="00ED600C">
        <w:rPr>
          <w:rFonts w:ascii="Arial" w:hAnsi="Arial" w:cs="Arial"/>
          <w:sz w:val="20"/>
          <w:szCs w:val="20"/>
        </w:rPr>
        <w:t>2013</w:t>
      </w:r>
      <w:r w:rsidRPr="00A1273C">
        <w:rPr>
          <w:rFonts w:ascii="Arial" w:hAnsi="Arial" w:cs="Arial"/>
          <w:sz w:val="20"/>
          <w:szCs w:val="20"/>
        </w:rPr>
        <w:t xml:space="preserve"> have been delivered to the Registrar of Companies. KPMG Audit Plc has reported on those accounts and</w:t>
      </w:r>
      <w:r w:rsidR="002042FF">
        <w:rPr>
          <w:rFonts w:ascii="Arial" w:hAnsi="Arial" w:cs="Arial"/>
          <w:sz w:val="20"/>
          <w:szCs w:val="20"/>
        </w:rPr>
        <w:t xml:space="preserve"> KPMG LLP have reported</w:t>
      </w:r>
      <w:r w:rsidRPr="00A1273C">
        <w:rPr>
          <w:rFonts w:ascii="Arial" w:hAnsi="Arial" w:cs="Arial"/>
          <w:sz w:val="20"/>
          <w:szCs w:val="20"/>
        </w:rPr>
        <w:t xml:space="preserve"> on the statutory accounts for the year ended 31 March </w:t>
      </w:r>
      <w:r w:rsidR="00ED600C">
        <w:rPr>
          <w:rFonts w:ascii="Arial" w:hAnsi="Arial" w:cs="Arial"/>
          <w:sz w:val="20"/>
          <w:szCs w:val="20"/>
        </w:rPr>
        <w:t>2014</w:t>
      </w:r>
      <w:r w:rsidRPr="00A1273C">
        <w:rPr>
          <w:rFonts w:ascii="Arial" w:hAnsi="Arial" w:cs="Arial"/>
          <w:sz w:val="20"/>
          <w:szCs w:val="20"/>
        </w:rPr>
        <w:t>. Both audit reports were (</w:t>
      </w:r>
      <w:proofErr w:type="spellStart"/>
      <w:r w:rsidRPr="00A1273C">
        <w:rPr>
          <w:rFonts w:ascii="Arial" w:hAnsi="Arial" w:cs="Arial"/>
          <w:sz w:val="20"/>
          <w:szCs w:val="20"/>
        </w:rPr>
        <w:t>i</w:t>
      </w:r>
      <w:proofErr w:type="spellEnd"/>
      <w:r w:rsidRPr="00A1273C">
        <w:rPr>
          <w:rFonts w:ascii="Arial" w:hAnsi="Arial" w:cs="Arial"/>
          <w:sz w:val="20"/>
          <w:szCs w:val="20"/>
        </w:rPr>
        <w:t xml:space="preserve">) unqualified, (ii) did not include reference to any matters to which the auditors drew attention by way of emphasis without qualifying their report and (iii) did not contain a statement under section 498 (2) or (3) of the Companies Act 2006 in respect of the accounts for the year ended 31 March </w:t>
      </w:r>
      <w:r w:rsidR="00ED600C">
        <w:rPr>
          <w:rFonts w:ascii="Arial" w:hAnsi="Arial" w:cs="Arial"/>
          <w:sz w:val="20"/>
          <w:szCs w:val="20"/>
        </w:rPr>
        <w:t>2013</w:t>
      </w:r>
      <w:r>
        <w:rPr>
          <w:rFonts w:ascii="Arial" w:hAnsi="Arial" w:cs="Arial"/>
          <w:sz w:val="20"/>
          <w:szCs w:val="20"/>
        </w:rPr>
        <w:t xml:space="preserve"> nor </w:t>
      </w:r>
      <w:r w:rsidR="00ED600C">
        <w:rPr>
          <w:rFonts w:ascii="Arial" w:hAnsi="Arial" w:cs="Arial"/>
          <w:sz w:val="20"/>
          <w:szCs w:val="20"/>
        </w:rPr>
        <w:t>for the year ended 31 March 2014</w:t>
      </w:r>
      <w:r w:rsidRPr="00A1273C">
        <w:rPr>
          <w:rFonts w:ascii="Arial" w:hAnsi="Arial" w:cs="Arial"/>
          <w:sz w:val="20"/>
          <w:szCs w:val="20"/>
        </w:rPr>
        <w:t>.</w:t>
      </w:r>
    </w:p>
    <w:p w:rsidR="00BF2426" w:rsidRDefault="00BF2426" w:rsidP="00BF2426">
      <w:pPr>
        <w:rPr>
          <w:rFonts w:ascii="Arial" w:hAnsi="Arial" w:cs="Arial"/>
          <w:b/>
          <w:sz w:val="20"/>
          <w:szCs w:val="20"/>
        </w:rPr>
      </w:pPr>
      <w:r>
        <w:rPr>
          <w:rFonts w:ascii="Arial" w:hAnsi="Arial" w:cs="Arial"/>
          <w:b/>
          <w:sz w:val="20"/>
          <w:szCs w:val="20"/>
        </w:rPr>
        <w:t>2</w:t>
      </w:r>
      <w:r w:rsidRPr="0032540A">
        <w:rPr>
          <w:rFonts w:ascii="Arial" w:hAnsi="Arial" w:cs="Arial"/>
          <w:b/>
          <w:sz w:val="20"/>
          <w:szCs w:val="20"/>
        </w:rPr>
        <w:t xml:space="preserve">.  </w:t>
      </w:r>
      <w:r>
        <w:rPr>
          <w:rFonts w:ascii="Arial" w:hAnsi="Arial" w:cs="Arial"/>
          <w:b/>
          <w:sz w:val="20"/>
          <w:szCs w:val="20"/>
        </w:rPr>
        <w:t>Segmental analysis</w:t>
      </w:r>
    </w:p>
    <w:p w:rsidR="007B4511" w:rsidRPr="00CB361F" w:rsidRDefault="007B4511" w:rsidP="007B4511">
      <w:pPr>
        <w:spacing w:after="0" w:line="240" w:lineRule="auto"/>
        <w:jc w:val="both"/>
        <w:rPr>
          <w:rFonts w:ascii="Arial" w:hAnsi="Arial" w:cs="Arial"/>
          <w:sz w:val="20"/>
          <w:szCs w:val="20"/>
        </w:rPr>
      </w:pPr>
      <w:r w:rsidRPr="00CB361F">
        <w:rPr>
          <w:rFonts w:ascii="Arial" w:hAnsi="Arial" w:cs="Arial"/>
          <w:sz w:val="20"/>
          <w:szCs w:val="20"/>
        </w:rPr>
        <w:t>Segment information is presented in respect of the Group's business and geographical segments.  The primary reporting format is determined to be by business type: the provision of ferry services; arts logistics and storage; and general trading in the Falkland Islands.  The secondary reporting format is determined to be geographical.</w:t>
      </w:r>
    </w:p>
    <w:p w:rsidR="007B4511" w:rsidRDefault="007B4511" w:rsidP="007B4511">
      <w:pPr>
        <w:spacing w:after="0" w:line="240" w:lineRule="auto"/>
        <w:jc w:val="both"/>
        <w:rPr>
          <w:rFonts w:ascii="Arial" w:hAnsi="Arial" w:cs="Arial"/>
          <w:sz w:val="20"/>
          <w:szCs w:val="20"/>
        </w:rPr>
      </w:pPr>
    </w:p>
    <w:p w:rsidR="00FB3553" w:rsidRDefault="00FB3553" w:rsidP="007B4511">
      <w:pPr>
        <w:spacing w:after="0" w:line="240" w:lineRule="auto"/>
        <w:jc w:val="both"/>
        <w:rPr>
          <w:rFonts w:ascii="Arial" w:hAnsi="Arial" w:cs="Arial"/>
          <w:sz w:val="20"/>
          <w:szCs w:val="20"/>
        </w:rPr>
      </w:pPr>
      <w:r w:rsidRPr="00191DA8">
        <w:rPr>
          <w:rFonts w:ascii="Arial" w:hAnsi="Arial" w:cs="Arial"/>
          <w:sz w:val="20"/>
          <w:szCs w:val="20"/>
        </w:rPr>
        <w:t>The Group is organised into three operating segments, and information on these segments is reported to the chief operating decision maker (‘CODM’) for the purposes of resource allocation and assessment of performance. The CODM has been identified as the Board of Directors.</w:t>
      </w:r>
      <w:r w:rsidR="00ED6E02">
        <w:rPr>
          <w:rFonts w:ascii="Arial" w:hAnsi="Arial" w:cs="Arial"/>
          <w:sz w:val="20"/>
          <w:szCs w:val="20"/>
        </w:rPr>
        <w:t xml:space="preserve">  </w:t>
      </w:r>
      <w:r w:rsidRPr="00191DA8">
        <w:rPr>
          <w:rFonts w:ascii="Arial" w:hAnsi="Arial" w:cs="Arial"/>
          <w:sz w:val="20"/>
          <w:szCs w:val="20"/>
        </w:rPr>
        <w:t>The operating segments offer different products and services and are determined by business type: general trading in the Falkland Islands, the provision of ferry services and art logistics and storage.</w:t>
      </w:r>
    </w:p>
    <w:p w:rsidR="00FB3553" w:rsidRPr="00CB361F" w:rsidRDefault="00FB3553" w:rsidP="007B4511">
      <w:pPr>
        <w:spacing w:after="0" w:line="240" w:lineRule="auto"/>
        <w:jc w:val="both"/>
        <w:rPr>
          <w:rFonts w:ascii="Arial" w:hAnsi="Arial" w:cs="Arial"/>
          <w:sz w:val="20"/>
          <w:szCs w:val="20"/>
        </w:rPr>
      </w:pPr>
    </w:p>
    <w:p w:rsidR="007B4511" w:rsidRPr="00CB361F" w:rsidRDefault="007B4511" w:rsidP="007B4511">
      <w:pPr>
        <w:spacing w:after="0" w:line="240" w:lineRule="auto"/>
        <w:jc w:val="both"/>
        <w:rPr>
          <w:rFonts w:ascii="Arial" w:hAnsi="Arial" w:cs="Arial"/>
          <w:sz w:val="20"/>
          <w:szCs w:val="20"/>
        </w:rPr>
      </w:pPr>
      <w:r w:rsidRPr="00CB361F">
        <w:rPr>
          <w:rFonts w:ascii="Arial" w:hAnsi="Arial" w:cs="Arial"/>
          <w:sz w:val="20"/>
          <w:szCs w:val="20"/>
        </w:rPr>
        <w:t>Segment results, assets and liabilities include items directly attributable to a segment as well as those that can be allocated on a reasonable basis.</w:t>
      </w:r>
    </w:p>
    <w:p w:rsidR="007B4511" w:rsidRPr="00CB361F" w:rsidRDefault="007B4511" w:rsidP="007B4511">
      <w:pPr>
        <w:spacing w:after="0" w:line="240" w:lineRule="auto"/>
        <w:jc w:val="both"/>
        <w:rPr>
          <w:rFonts w:ascii="Arial" w:hAnsi="Arial" w:cs="Arial"/>
          <w:sz w:val="20"/>
          <w:szCs w:val="20"/>
        </w:rPr>
      </w:pPr>
    </w:p>
    <w:p w:rsidR="007B4511" w:rsidRDefault="007B4511" w:rsidP="00191DA8">
      <w:pPr>
        <w:spacing w:after="0" w:line="240" w:lineRule="auto"/>
        <w:jc w:val="both"/>
        <w:rPr>
          <w:rFonts w:ascii="Arial" w:hAnsi="Arial" w:cs="Arial"/>
          <w:sz w:val="20"/>
          <w:szCs w:val="20"/>
        </w:rPr>
      </w:pPr>
      <w:r w:rsidRPr="00CB361F">
        <w:rPr>
          <w:rFonts w:ascii="Arial" w:hAnsi="Arial" w:cs="Arial"/>
          <w:sz w:val="20"/>
          <w:szCs w:val="20"/>
        </w:rPr>
        <w:t>Segment capital expenditure is the total cost incurred during the period to acquire property, plant and equipment and intangible assets other than goodwill.</w:t>
      </w:r>
    </w:p>
    <w:p w:rsidR="00694326" w:rsidRDefault="00694326">
      <w:pPr>
        <w:spacing w:after="0" w:line="240" w:lineRule="auto"/>
        <w:rPr>
          <w:rFonts w:ascii="Arial" w:hAnsi="Arial" w:cs="Arial"/>
          <w:sz w:val="20"/>
          <w:szCs w:val="20"/>
        </w:rPr>
      </w:pPr>
      <w:r>
        <w:rPr>
          <w:rFonts w:ascii="Arial" w:hAnsi="Arial" w:cs="Arial"/>
          <w:sz w:val="20"/>
          <w:szCs w:val="20"/>
        </w:rPr>
        <w:br w:type="page"/>
      </w:r>
    </w:p>
    <w:p w:rsidR="00694326" w:rsidRDefault="00694326" w:rsidP="00694326">
      <w:pPr>
        <w:rPr>
          <w:rFonts w:ascii="Arial" w:hAnsi="Arial" w:cs="Arial"/>
          <w:b/>
          <w:sz w:val="20"/>
          <w:szCs w:val="20"/>
        </w:rPr>
      </w:pPr>
      <w:r>
        <w:rPr>
          <w:rFonts w:ascii="Arial" w:hAnsi="Arial" w:cs="Arial"/>
          <w:b/>
          <w:sz w:val="20"/>
          <w:szCs w:val="20"/>
        </w:rPr>
        <w:t>2</w:t>
      </w:r>
      <w:r w:rsidRPr="0032540A">
        <w:rPr>
          <w:rFonts w:ascii="Arial" w:hAnsi="Arial" w:cs="Arial"/>
          <w:b/>
          <w:sz w:val="20"/>
          <w:szCs w:val="20"/>
        </w:rPr>
        <w:t xml:space="preserve">.  </w:t>
      </w:r>
      <w:r>
        <w:rPr>
          <w:rFonts w:ascii="Arial" w:hAnsi="Arial" w:cs="Arial"/>
          <w:b/>
          <w:sz w:val="20"/>
          <w:szCs w:val="20"/>
        </w:rPr>
        <w:t>Segmental analysis</w:t>
      </w:r>
      <w:r w:rsidRPr="00694326">
        <w:rPr>
          <w:rFonts w:ascii="Arial" w:hAnsi="Arial" w:cs="Arial"/>
          <w:b/>
          <w:i/>
          <w:sz w:val="20"/>
          <w:szCs w:val="20"/>
        </w:rPr>
        <w:t xml:space="preserve"> (continued)</w:t>
      </w:r>
    </w:p>
    <w:p w:rsidR="00694326" w:rsidRDefault="00694326" w:rsidP="00191DA8">
      <w:pPr>
        <w:spacing w:after="0" w:line="240" w:lineRule="auto"/>
        <w:jc w:val="both"/>
        <w:rPr>
          <w:rFonts w:ascii="Arial" w:hAnsi="Arial" w:cs="Arial"/>
          <w:sz w:val="20"/>
          <w:szCs w:val="20"/>
        </w:rPr>
      </w:pPr>
    </w:p>
    <w:tbl>
      <w:tblPr>
        <w:tblW w:w="10740" w:type="dxa"/>
        <w:tblLayout w:type="fixed"/>
        <w:tblLook w:val="04A0" w:firstRow="1" w:lastRow="0" w:firstColumn="1" w:lastColumn="0" w:noHBand="0" w:noVBand="1"/>
      </w:tblPr>
      <w:tblGrid>
        <w:gridCol w:w="3400"/>
        <w:gridCol w:w="1468"/>
        <w:gridCol w:w="1468"/>
        <w:gridCol w:w="1468"/>
        <w:gridCol w:w="1468"/>
        <w:gridCol w:w="1468"/>
      </w:tblGrid>
      <w:tr w:rsidR="00694326" w:rsidRPr="003B1452"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7340" w:type="dxa"/>
            <w:gridSpan w:val="5"/>
            <w:tcBorders>
              <w:top w:val="nil"/>
              <w:left w:val="nil"/>
              <w:bottom w:val="nil"/>
              <w:right w:val="nil"/>
            </w:tcBorders>
            <w:shd w:val="clear" w:color="auto" w:fill="auto"/>
            <w:noWrap/>
            <w:vAlign w:val="bottom"/>
          </w:tcPr>
          <w:p w:rsidR="00694326" w:rsidRPr="003B1452" w:rsidRDefault="00694326" w:rsidP="00ED600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2014</w:t>
            </w:r>
          </w:p>
        </w:tc>
      </w:tr>
      <w:tr w:rsidR="00694326" w:rsidRPr="003B1452"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General</w:t>
            </w: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Ferry</w:t>
            </w: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Art logistics</w:t>
            </w:r>
          </w:p>
        </w:tc>
        <w:tc>
          <w:tcPr>
            <w:tcW w:w="1468" w:type="dxa"/>
            <w:tcBorders>
              <w:top w:val="nil"/>
              <w:left w:val="nil"/>
              <w:bottom w:val="nil"/>
              <w:right w:val="nil"/>
            </w:tcBorders>
          </w:tcPr>
          <w:p w:rsidR="00694326" w:rsidRPr="003B1452"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p>
        </w:tc>
      </w:tr>
      <w:tr w:rsidR="00694326" w:rsidRPr="003B1452"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trading</w:t>
            </w: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Services</w:t>
            </w: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and storage</w:t>
            </w:r>
          </w:p>
        </w:tc>
        <w:tc>
          <w:tcPr>
            <w:tcW w:w="1468" w:type="dxa"/>
            <w:tcBorders>
              <w:top w:val="nil"/>
              <w:left w:val="nil"/>
              <w:bottom w:val="nil"/>
              <w:right w:val="nil"/>
            </w:tcBorders>
          </w:tcPr>
          <w:p w:rsidR="00694326" w:rsidRPr="003B1452"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p>
        </w:tc>
      </w:tr>
      <w:tr w:rsidR="00694326" w:rsidRPr="003B1452"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(Falklands)</w:t>
            </w: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(Portsmouth)</w:t>
            </w: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(UK)</w:t>
            </w:r>
          </w:p>
        </w:tc>
        <w:tc>
          <w:tcPr>
            <w:tcW w:w="1468" w:type="dxa"/>
            <w:tcBorders>
              <w:top w:val="nil"/>
              <w:left w:val="nil"/>
              <w:bottom w:val="nil"/>
              <w:right w:val="nil"/>
            </w:tcBorders>
          </w:tcPr>
          <w:p w:rsidR="00694326" w:rsidRPr="003B1452" w:rsidRDefault="00694326"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Unallocated</w:t>
            </w: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Total</w:t>
            </w:r>
          </w:p>
        </w:tc>
      </w:tr>
      <w:tr w:rsidR="00694326" w:rsidRPr="003B1452"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£'000</w:t>
            </w: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£'000</w:t>
            </w: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£'000</w:t>
            </w:r>
          </w:p>
        </w:tc>
        <w:tc>
          <w:tcPr>
            <w:tcW w:w="1468" w:type="dxa"/>
            <w:tcBorders>
              <w:top w:val="nil"/>
              <w:left w:val="nil"/>
              <w:bottom w:val="nil"/>
              <w:right w:val="nil"/>
            </w:tcBorders>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£'000</w:t>
            </w: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£'000</w:t>
            </w:r>
          </w:p>
        </w:tc>
      </w:tr>
      <w:tr w:rsidR="00694326" w:rsidRPr="003B1452"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tcPr>
          <w:p w:rsidR="00694326" w:rsidRPr="003B1452"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3B1452" w:rsidRDefault="00694326" w:rsidP="00ED600C">
            <w:pPr>
              <w:spacing w:after="0" w:line="240" w:lineRule="auto"/>
              <w:jc w:val="right"/>
              <w:rPr>
                <w:rFonts w:ascii="Arial" w:eastAsia="Times New Roman" w:hAnsi="Arial" w:cs="Arial"/>
                <w:sz w:val="20"/>
                <w:szCs w:val="20"/>
                <w:lang w:eastAsia="en-GB"/>
              </w:rPr>
            </w:pPr>
          </w:p>
        </w:tc>
      </w:tr>
      <w:tr w:rsidR="00694326" w:rsidRPr="007B4511" w:rsidTr="00ED600C">
        <w:trPr>
          <w:trHeight w:val="58"/>
        </w:trPr>
        <w:tc>
          <w:tcPr>
            <w:tcW w:w="3400" w:type="dxa"/>
            <w:tcBorders>
              <w:top w:val="nil"/>
              <w:left w:val="nil"/>
              <w:bottom w:val="single" w:sz="4" w:space="0" w:color="auto"/>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Revenue</w:t>
            </w: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15,881</w:t>
            </w: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4,124</w:t>
            </w: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18,258</w:t>
            </w:r>
          </w:p>
        </w:tc>
        <w:tc>
          <w:tcPr>
            <w:tcW w:w="1468" w:type="dxa"/>
            <w:tcBorders>
              <w:top w:val="nil"/>
              <w:left w:val="nil"/>
              <w:bottom w:val="single" w:sz="4" w:space="0" w:color="auto"/>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38,263</w:t>
            </w:r>
          </w:p>
        </w:tc>
      </w:tr>
      <w:tr w:rsidR="00694326" w:rsidRPr="007B4511" w:rsidTr="00ED600C">
        <w:trPr>
          <w:trHeight w:val="58"/>
        </w:trPr>
        <w:tc>
          <w:tcPr>
            <w:tcW w:w="3400" w:type="dxa"/>
            <w:tcBorders>
              <w:top w:val="nil"/>
              <w:left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nil"/>
              <w:left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right w:val="nil"/>
            </w:tcBorders>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r>
      <w:tr w:rsidR="00694326" w:rsidRPr="007B4511" w:rsidTr="00ED600C">
        <w:trPr>
          <w:trHeight w:val="58"/>
        </w:trPr>
        <w:tc>
          <w:tcPr>
            <w:tcW w:w="3400" w:type="dxa"/>
            <w:tcBorders>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Segment operating profit before tax, amortisation &amp; non-trading items</w:t>
            </w:r>
          </w:p>
        </w:tc>
        <w:tc>
          <w:tcPr>
            <w:tcW w:w="1468" w:type="dxa"/>
            <w:tcBorders>
              <w:left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977</w:t>
            </w:r>
          </w:p>
        </w:tc>
        <w:tc>
          <w:tcPr>
            <w:tcW w:w="1468" w:type="dxa"/>
            <w:tcBorders>
              <w:left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1,013</w:t>
            </w:r>
          </w:p>
        </w:tc>
        <w:tc>
          <w:tcPr>
            <w:tcW w:w="1468" w:type="dxa"/>
            <w:tcBorders>
              <w:left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1,826</w:t>
            </w:r>
          </w:p>
        </w:tc>
        <w:tc>
          <w:tcPr>
            <w:tcW w:w="1468" w:type="dxa"/>
            <w:tcBorders>
              <w:left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lef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3,816</w:t>
            </w:r>
          </w:p>
        </w:tc>
      </w:tr>
      <w:tr w:rsidR="00694326" w:rsidRPr="007B4511" w:rsidTr="00ED600C">
        <w:trPr>
          <w:trHeight w:val="58"/>
        </w:trPr>
        <w:tc>
          <w:tcPr>
            <w:tcW w:w="3400" w:type="dxa"/>
            <w:tcBorders>
              <w:right w:val="nil"/>
            </w:tcBorders>
            <w:shd w:val="clear" w:color="auto" w:fill="auto"/>
            <w:noWrap/>
            <w:vAlign w:val="bottom"/>
          </w:tcPr>
          <w:p w:rsidR="00694326" w:rsidRPr="00BF2426" w:rsidRDefault="00694326" w:rsidP="00ED600C">
            <w:pPr>
              <w:spacing w:after="0" w:line="240" w:lineRule="auto"/>
              <w:rPr>
                <w:rFonts w:ascii="Arial" w:eastAsia="Times New Roman" w:hAnsi="Arial" w:cs="Arial"/>
                <w:sz w:val="20"/>
                <w:szCs w:val="20"/>
                <w:lang w:eastAsia="en-GB"/>
              </w:rPr>
            </w:pPr>
            <w:r w:rsidRPr="00BF2426">
              <w:rPr>
                <w:rFonts w:ascii="Arial" w:eastAsia="Times New Roman" w:hAnsi="Arial" w:cs="Arial"/>
                <w:sz w:val="20"/>
                <w:szCs w:val="20"/>
                <w:lang w:eastAsia="en-GB"/>
              </w:rPr>
              <w:t xml:space="preserve">Net settlement </w:t>
            </w:r>
            <w:r w:rsidR="00047E65">
              <w:rPr>
                <w:rFonts w:ascii="Arial" w:eastAsia="Times New Roman" w:hAnsi="Arial" w:cs="Arial"/>
                <w:sz w:val="20"/>
                <w:szCs w:val="20"/>
                <w:lang w:eastAsia="en-GB"/>
              </w:rPr>
              <w:t>gain</w:t>
            </w:r>
            <w:r w:rsidRPr="00BF2426">
              <w:rPr>
                <w:rFonts w:ascii="Arial" w:eastAsia="Times New Roman" w:hAnsi="Arial" w:cs="Arial"/>
                <w:sz w:val="20"/>
                <w:szCs w:val="20"/>
                <w:lang w:eastAsia="en-GB"/>
              </w:rPr>
              <w:t xml:space="preserve"> on the </w:t>
            </w:r>
            <w:r>
              <w:rPr>
                <w:rFonts w:ascii="Arial" w:eastAsia="Times New Roman" w:hAnsi="Arial" w:cs="Arial"/>
                <w:sz w:val="20"/>
                <w:szCs w:val="20"/>
                <w:lang w:eastAsia="en-GB"/>
              </w:rPr>
              <w:t xml:space="preserve">transfer of the </w:t>
            </w:r>
            <w:r w:rsidRPr="00BF2426">
              <w:rPr>
                <w:rFonts w:ascii="Arial" w:eastAsia="Times New Roman" w:hAnsi="Arial" w:cs="Arial"/>
                <w:sz w:val="20"/>
                <w:szCs w:val="20"/>
                <w:lang w:eastAsia="en-GB"/>
              </w:rPr>
              <w:t>PHFC pension scheme</w:t>
            </w:r>
          </w:p>
        </w:tc>
        <w:tc>
          <w:tcPr>
            <w:tcW w:w="1468" w:type="dxa"/>
            <w:tcBorders>
              <w:left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left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left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left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64</w:t>
            </w:r>
          </w:p>
        </w:tc>
        <w:tc>
          <w:tcPr>
            <w:tcW w:w="1468" w:type="dxa"/>
            <w:tcBorders>
              <w:lef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64</w:t>
            </w:r>
          </w:p>
        </w:tc>
      </w:tr>
      <w:tr w:rsidR="00694326" w:rsidRPr="007B4511" w:rsidTr="003E44EB">
        <w:trPr>
          <w:trHeight w:val="150"/>
        </w:trPr>
        <w:tc>
          <w:tcPr>
            <w:tcW w:w="3400" w:type="dxa"/>
            <w:tcBorders>
              <w:bottom w:val="single" w:sz="4" w:space="0" w:color="auto"/>
              <w:right w:val="nil"/>
            </w:tcBorders>
            <w:shd w:val="clear" w:color="auto" w:fill="auto"/>
            <w:noWrap/>
            <w:vAlign w:val="bottom"/>
          </w:tcPr>
          <w:p w:rsidR="00694326" w:rsidRDefault="00694326" w:rsidP="00D3168A">
            <w:pPr>
              <w:rPr>
                <w:rFonts w:ascii="Arial" w:hAnsi="Arial" w:cs="Arial"/>
                <w:sz w:val="32"/>
                <w:szCs w:val="32"/>
              </w:rPr>
            </w:pPr>
            <w:r>
              <w:rPr>
                <w:rFonts w:ascii="Arial" w:eastAsia="Times New Roman" w:hAnsi="Arial" w:cs="Arial"/>
                <w:sz w:val="20"/>
                <w:szCs w:val="20"/>
                <w:lang w:eastAsia="en-GB"/>
              </w:rPr>
              <w:t>Am</w:t>
            </w:r>
            <w:r w:rsidRPr="00BF2426">
              <w:rPr>
                <w:rFonts w:ascii="Arial" w:eastAsia="Times New Roman" w:hAnsi="Arial" w:cs="Arial"/>
                <w:sz w:val="20"/>
                <w:szCs w:val="20"/>
                <w:lang w:eastAsia="en-GB"/>
              </w:rPr>
              <w:t>ortisation</w:t>
            </w:r>
          </w:p>
        </w:tc>
        <w:tc>
          <w:tcPr>
            <w:tcW w:w="1468" w:type="dxa"/>
            <w:tcBorders>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(307)</w:t>
            </w:r>
          </w:p>
        </w:tc>
        <w:tc>
          <w:tcPr>
            <w:tcW w:w="1468" w:type="dxa"/>
            <w:tcBorders>
              <w:left w:val="nil"/>
              <w:bottom w:val="single" w:sz="4" w:space="0" w:color="auto"/>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left w:val="nil"/>
              <w:bottom w:val="single" w:sz="4" w:space="0" w:color="auto"/>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(307)</w:t>
            </w:r>
          </w:p>
        </w:tc>
      </w:tr>
      <w:tr w:rsidR="00694326" w:rsidRPr="00694326" w:rsidTr="00ED600C">
        <w:trPr>
          <w:trHeight w:val="58"/>
        </w:trPr>
        <w:tc>
          <w:tcPr>
            <w:tcW w:w="3400" w:type="dxa"/>
            <w:tcBorders>
              <w:top w:val="single" w:sz="4" w:space="0" w:color="auto"/>
              <w:left w:val="nil"/>
              <w:bottom w:val="nil"/>
              <w:right w:val="nil"/>
            </w:tcBorders>
            <w:shd w:val="clear" w:color="auto" w:fill="auto"/>
            <w:noWrap/>
            <w:vAlign w:val="bottom"/>
          </w:tcPr>
          <w:p w:rsidR="00694326" w:rsidRPr="00694326" w:rsidRDefault="00694326" w:rsidP="00ED600C">
            <w:pPr>
              <w:spacing w:after="0" w:line="240" w:lineRule="auto"/>
              <w:rPr>
                <w:rFonts w:ascii="Arial" w:eastAsia="Times New Roman" w:hAnsi="Arial" w:cs="Arial"/>
                <w:b/>
                <w:sz w:val="20"/>
                <w:szCs w:val="20"/>
                <w:lang w:eastAsia="en-GB"/>
              </w:rPr>
            </w:pPr>
            <w:r w:rsidRPr="00694326">
              <w:rPr>
                <w:rFonts w:ascii="Arial" w:eastAsia="Times New Roman" w:hAnsi="Arial" w:cs="Arial"/>
                <w:b/>
                <w:sz w:val="20"/>
                <w:szCs w:val="20"/>
                <w:lang w:eastAsia="en-GB"/>
              </w:rPr>
              <w:t>Segment operating profit</w:t>
            </w:r>
          </w:p>
        </w:tc>
        <w:tc>
          <w:tcPr>
            <w:tcW w:w="1468" w:type="dxa"/>
            <w:tcBorders>
              <w:top w:val="single" w:sz="4" w:space="0" w:color="auto"/>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977</w:t>
            </w:r>
          </w:p>
        </w:tc>
        <w:tc>
          <w:tcPr>
            <w:tcW w:w="1468" w:type="dxa"/>
            <w:tcBorders>
              <w:top w:val="single" w:sz="4" w:space="0" w:color="auto"/>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1,013</w:t>
            </w:r>
          </w:p>
        </w:tc>
        <w:tc>
          <w:tcPr>
            <w:tcW w:w="1468" w:type="dxa"/>
            <w:tcBorders>
              <w:top w:val="single" w:sz="4" w:space="0" w:color="auto"/>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1,519</w:t>
            </w:r>
          </w:p>
        </w:tc>
        <w:tc>
          <w:tcPr>
            <w:tcW w:w="1468" w:type="dxa"/>
            <w:tcBorders>
              <w:top w:val="single" w:sz="4" w:space="0" w:color="auto"/>
              <w:left w:val="nil"/>
              <w:bottom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64</w:t>
            </w:r>
          </w:p>
        </w:tc>
        <w:tc>
          <w:tcPr>
            <w:tcW w:w="1468" w:type="dxa"/>
            <w:tcBorders>
              <w:top w:val="single" w:sz="4" w:space="0" w:color="auto"/>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3,573</w:t>
            </w:r>
          </w:p>
        </w:tc>
      </w:tr>
      <w:tr w:rsidR="00694326" w:rsidRPr="007B4511"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r>
      <w:tr w:rsidR="00694326" w:rsidRPr="007B4511" w:rsidTr="00694326">
        <w:trPr>
          <w:trHeight w:val="58"/>
        </w:trPr>
        <w:tc>
          <w:tcPr>
            <w:tcW w:w="3400" w:type="dxa"/>
            <w:tcBorders>
              <w:top w:val="nil"/>
              <w:left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Share of result of joint venture</w:t>
            </w:r>
          </w:p>
        </w:tc>
        <w:tc>
          <w:tcPr>
            <w:tcW w:w="1468" w:type="dxa"/>
            <w:tcBorders>
              <w:top w:val="nil"/>
              <w:left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36</w:t>
            </w:r>
          </w:p>
        </w:tc>
        <w:tc>
          <w:tcPr>
            <w:tcW w:w="1468" w:type="dxa"/>
            <w:tcBorders>
              <w:top w:val="nil"/>
              <w:left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right w:val="nil"/>
            </w:tcBorders>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36</w:t>
            </w:r>
          </w:p>
        </w:tc>
      </w:tr>
      <w:tr w:rsidR="00694326" w:rsidRPr="007B4511" w:rsidTr="00694326">
        <w:trPr>
          <w:trHeight w:val="58"/>
        </w:trPr>
        <w:tc>
          <w:tcPr>
            <w:tcW w:w="3400" w:type="dxa"/>
            <w:tcBorders>
              <w:top w:val="nil"/>
              <w:left w:val="nil"/>
              <w:bottom w:val="single" w:sz="4" w:space="0" w:color="auto"/>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nil"/>
              <w:left w:val="nil"/>
              <w:bottom w:val="single" w:sz="4" w:space="0" w:color="auto"/>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single" w:sz="4" w:space="0" w:color="auto"/>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single" w:sz="4" w:space="0" w:color="auto"/>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single" w:sz="4" w:space="0" w:color="auto"/>
              <w:right w:val="nil"/>
            </w:tcBorders>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single" w:sz="4" w:space="0" w:color="auto"/>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r>
      <w:tr w:rsidR="00694326" w:rsidRPr="007B4511" w:rsidTr="00694326">
        <w:trPr>
          <w:trHeight w:val="58"/>
        </w:trPr>
        <w:tc>
          <w:tcPr>
            <w:tcW w:w="3400" w:type="dxa"/>
            <w:tcBorders>
              <w:top w:val="single" w:sz="4" w:space="0" w:color="auto"/>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sidRPr="00694326">
              <w:rPr>
                <w:rFonts w:ascii="Arial" w:eastAsia="Times New Roman" w:hAnsi="Arial" w:cs="Arial"/>
                <w:sz w:val="20"/>
                <w:szCs w:val="20"/>
                <w:lang w:eastAsia="en-GB"/>
              </w:rPr>
              <w:t>Profit before net financing costs</w:t>
            </w:r>
          </w:p>
        </w:tc>
        <w:tc>
          <w:tcPr>
            <w:tcW w:w="1468" w:type="dxa"/>
            <w:tcBorders>
              <w:top w:val="single" w:sz="4" w:space="0" w:color="auto"/>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1,013</w:t>
            </w:r>
          </w:p>
        </w:tc>
        <w:tc>
          <w:tcPr>
            <w:tcW w:w="1468" w:type="dxa"/>
            <w:tcBorders>
              <w:top w:val="single" w:sz="4" w:space="0" w:color="auto"/>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1,013</w:t>
            </w:r>
          </w:p>
        </w:tc>
        <w:tc>
          <w:tcPr>
            <w:tcW w:w="1468" w:type="dxa"/>
            <w:tcBorders>
              <w:top w:val="single" w:sz="4" w:space="0" w:color="auto"/>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1,519</w:t>
            </w:r>
          </w:p>
        </w:tc>
        <w:tc>
          <w:tcPr>
            <w:tcW w:w="1468" w:type="dxa"/>
            <w:tcBorders>
              <w:top w:val="single" w:sz="4" w:space="0" w:color="auto"/>
              <w:left w:val="nil"/>
              <w:bottom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64</w:t>
            </w:r>
          </w:p>
        </w:tc>
        <w:tc>
          <w:tcPr>
            <w:tcW w:w="1468" w:type="dxa"/>
            <w:tcBorders>
              <w:top w:val="single" w:sz="4" w:space="0" w:color="auto"/>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3,609</w:t>
            </w:r>
          </w:p>
        </w:tc>
      </w:tr>
      <w:tr w:rsidR="00694326" w:rsidRPr="007B4511"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p>
        </w:tc>
      </w:tr>
      <w:tr w:rsidR="00694326" w:rsidRPr="007B4511"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Interest income</w:t>
            </w:r>
          </w:p>
        </w:tc>
        <w:tc>
          <w:tcPr>
            <w:tcW w:w="1468" w:type="dxa"/>
            <w:tcBorders>
              <w:top w:val="nil"/>
              <w:left w:val="nil"/>
              <w:bottom w:val="nil"/>
              <w:right w:val="nil"/>
            </w:tcBorders>
            <w:shd w:val="clear" w:color="auto" w:fill="auto"/>
            <w:noWrap/>
            <w:vAlign w:val="bottom"/>
          </w:tcPr>
          <w:p w:rsidR="00694326" w:rsidRPr="00694326" w:rsidRDefault="00902660" w:rsidP="0069432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w:t>
            </w:r>
            <w:r w:rsidR="00694326" w:rsidRPr="00694326">
              <w:rPr>
                <w:rFonts w:ascii="Arial" w:eastAsia="Times New Roman" w:hAnsi="Arial" w:cs="Arial"/>
                <w:sz w:val="20"/>
                <w:szCs w:val="20"/>
                <w:lang w:eastAsia="en-GB"/>
              </w:rPr>
              <w:t>1</w:t>
            </w:r>
          </w:p>
        </w:tc>
        <w:tc>
          <w:tcPr>
            <w:tcW w:w="1468" w:type="dxa"/>
            <w:tcBorders>
              <w:top w:val="nil"/>
              <w:left w:val="nil"/>
              <w:bottom w:val="nil"/>
              <w:right w:val="nil"/>
            </w:tcBorders>
            <w:shd w:val="clear" w:color="auto" w:fill="auto"/>
            <w:noWrap/>
            <w:vAlign w:val="bottom"/>
          </w:tcPr>
          <w:p w:rsidR="00694326" w:rsidRPr="00694326" w:rsidRDefault="00902660" w:rsidP="0069432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694326" w:rsidRPr="00694326" w:rsidRDefault="00902660" w:rsidP="0069432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bottom w:val="nil"/>
              <w:right w:val="nil"/>
            </w:tcBorders>
            <w:vAlign w:val="bottom"/>
          </w:tcPr>
          <w:p w:rsidR="00694326" w:rsidRPr="00694326" w:rsidRDefault="00902660" w:rsidP="0069432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220</w:t>
            </w:r>
          </w:p>
        </w:tc>
      </w:tr>
      <w:tr w:rsidR="00694326" w:rsidRPr="007B4511"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Interest expense</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(108)</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(246)</w:t>
            </w:r>
          </w:p>
        </w:tc>
        <w:tc>
          <w:tcPr>
            <w:tcW w:w="1468" w:type="dxa"/>
            <w:tcBorders>
              <w:top w:val="nil"/>
              <w:left w:val="nil"/>
              <w:bottom w:val="nil"/>
              <w:right w:val="nil"/>
            </w:tcBorders>
            <w:shd w:val="clear" w:color="auto" w:fill="auto"/>
            <w:noWrap/>
            <w:vAlign w:val="bottom"/>
          </w:tcPr>
          <w:p w:rsidR="00694326" w:rsidRPr="00694326" w:rsidRDefault="00694326" w:rsidP="00902660">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r w:rsidR="00902660">
              <w:rPr>
                <w:rFonts w:ascii="Arial" w:eastAsia="Times New Roman" w:hAnsi="Arial" w:cs="Arial"/>
                <w:sz w:val="20"/>
                <w:szCs w:val="20"/>
                <w:lang w:eastAsia="en-GB"/>
              </w:rPr>
              <w:t>29</w:t>
            </w:r>
            <w:r w:rsidRPr="00694326">
              <w:rPr>
                <w:rFonts w:ascii="Arial" w:eastAsia="Times New Roman" w:hAnsi="Arial" w:cs="Arial"/>
                <w:sz w:val="20"/>
                <w:szCs w:val="20"/>
                <w:lang w:eastAsia="en-GB"/>
              </w:rPr>
              <w:t>)</w:t>
            </w:r>
          </w:p>
        </w:tc>
        <w:tc>
          <w:tcPr>
            <w:tcW w:w="1468" w:type="dxa"/>
            <w:tcBorders>
              <w:top w:val="nil"/>
              <w:left w:val="nil"/>
              <w:bottom w:val="nil"/>
              <w:right w:val="nil"/>
            </w:tcBorders>
            <w:vAlign w:val="bottom"/>
          </w:tcPr>
          <w:p w:rsidR="00694326" w:rsidRPr="00694326" w:rsidRDefault="00902660" w:rsidP="0069432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(42)</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(425)</w:t>
            </w:r>
          </w:p>
        </w:tc>
      </w:tr>
      <w:tr w:rsidR="00694326" w:rsidRPr="007B4511" w:rsidTr="00ED600C">
        <w:trPr>
          <w:trHeight w:val="58"/>
        </w:trPr>
        <w:tc>
          <w:tcPr>
            <w:tcW w:w="3400" w:type="dxa"/>
            <w:tcBorders>
              <w:top w:val="nil"/>
              <w:left w:val="nil"/>
              <w:bottom w:val="single" w:sz="4" w:space="0" w:color="auto"/>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rPr>
                <w:rFonts w:ascii="Arial" w:eastAsia="Times New Roman" w:hAnsi="Arial" w:cs="Arial"/>
                <w:sz w:val="20"/>
                <w:szCs w:val="20"/>
                <w:lang w:eastAsia="en-GB"/>
              </w:rPr>
            </w:pPr>
            <w:r w:rsidRPr="00694326">
              <w:rPr>
                <w:rFonts w:ascii="Arial" w:eastAsia="Times New Roman" w:hAnsi="Arial" w:cs="Arial"/>
                <w:sz w:val="20"/>
                <w:szCs w:val="20"/>
                <w:lang w:eastAsia="en-GB"/>
              </w:rPr>
              <w:t> </w:t>
            </w: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rPr>
                <w:rFonts w:ascii="Arial" w:eastAsia="Times New Roman" w:hAnsi="Arial" w:cs="Arial"/>
                <w:sz w:val="20"/>
                <w:szCs w:val="20"/>
                <w:lang w:eastAsia="en-GB"/>
              </w:rPr>
            </w:pPr>
            <w:r w:rsidRPr="00694326">
              <w:rPr>
                <w:rFonts w:ascii="Arial" w:eastAsia="Times New Roman" w:hAnsi="Arial" w:cs="Arial"/>
                <w:sz w:val="20"/>
                <w:szCs w:val="20"/>
                <w:lang w:eastAsia="en-GB"/>
              </w:rPr>
              <w:t> </w:t>
            </w: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rPr>
                <w:rFonts w:ascii="Arial" w:eastAsia="Times New Roman" w:hAnsi="Arial" w:cs="Arial"/>
                <w:sz w:val="20"/>
                <w:szCs w:val="20"/>
                <w:lang w:eastAsia="en-GB"/>
              </w:rPr>
            </w:pPr>
            <w:r w:rsidRPr="00694326">
              <w:rPr>
                <w:rFonts w:ascii="Arial" w:eastAsia="Times New Roman" w:hAnsi="Arial" w:cs="Arial"/>
                <w:sz w:val="20"/>
                <w:szCs w:val="20"/>
                <w:lang w:eastAsia="en-GB"/>
              </w:rPr>
              <w:t> </w:t>
            </w:r>
          </w:p>
        </w:tc>
        <w:tc>
          <w:tcPr>
            <w:tcW w:w="1468" w:type="dxa"/>
            <w:tcBorders>
              <w:top w:val="nil"/>
              <w:left w:val="nil"/>
              <w:bottom w:val="single" w:sz="4" w:space="0" w:color="auto"/>
              <w:right w:val="nil"/>
            </w:tcBorders>
            <w:vAlign w:val="bottom"/>
          </w:tcPr>
          <w:p w:rsidR="00694326" w:rsidRPr="00694326" w:rsidRDefault="00694326" w:rsidP="00694326">
            <w:pPr>
              <w:spacing w:after="0" w:line="240" w:lineRule="auto"/>
              <w:rPr>
                <w:rFonts w:ascii="Arial" w:eastAsia="Times New Roman" w:hAnsi="Arial" w:cs="Arial"/>
                <w:sz w:val="20"/>
                <w:szCs w:val="20"/>
                <w:lang w:eastAsia="en-GB"/>
              </w:rPr>
            </w:pPr>
            <w:r w:rsidRPr="00694326">
              <w:rPr>
                <w:rFonts w:ascii="Arial" w:eastAsia="Times New Roman" w:hAnsi="Arial" w:cs="Arial"/>
                <w:sz w:val="20"/>
                <w:szCs w:val="20"/>
                <w:lang w:eastAsia="en-GB"/>
              </w:rPr>
              <w:t> </w:t>
            </w: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rPr>
                <w:rFonts w:ascii="Arial" w:eastAsia="Times New Roman" w:hAnsi="Arial" w:cs="Arial"/>
                <w:sz w:val="20"/>
                <w:szCs w:val="20"/>
                <w:lang w:eastAsia="en-GB"/>
              </w:rPr>
            </w:pPr>
            <w:r w:rsidRPr="00694326">
              <w:rPr>
                <w:rFonts w:ascii="Arial" w:eastAsia="Times New Roman" w:hAnsi="Arial" w:cs="Arial"/>
                <w:sz w:val="20"/>
                <w:szCs w:val="20"/>
                <w:lang w:eastAsia="en-GB"/>
              </w:rPr>
              <w:t> </w:t>
            </w:r>
          </w:p>
        </w:tc>
      </w:tr>
      <w:tr w:rsidR="00694326" w:rsidRPr="007B4511" w:rsidTr="00ED600C">
        <w:trPr>
          <w:trHeight w:val="58"/>
        </w:trPr>
        <w:tc>
          <w:tcPr>
            <w:tcW w:w="3400" w:type="dxa"/>
            <w:tcBorders>
              <w:top w:val="single" w:sz="4" w:space="0" w:color="auto"/>
              <w:left w:val="nil"/>
              <w:bottom w:val="single" w:sz="4" w:space="0" w:color="auto"/>
              <w:right w:val="nil"/>
            </w:tcBorders>
            <w:shd w:val="clear" w:color="auto" w:fill="auto"/>
            <w:noWrap/>
            <w:vAlign w:val="bottom"/>
          </w:tcPr>
          <w:p w:rsidR="00694326" w:rsidRPr="00694326" w:rsidRDefault="00694326" w:rsidP="00ED600C">
            <w:pPr>
              <w:spacing w:after="0" w:line="240" w:lineRule="auto"/>
              <w:rPr>
                <w:rFonts w:ascii="Arial" w:eastAsia="Times New Roman" w:hAnsi="Arial" w:cs="Arial"/>
                <w:b/>
                <w:sz w:val="20"/>
                <w:szCs w:val="20"/>
                <w:lang w:eastAsia="en-GB"/>
              </w:rPr>
            </w:pPr>
            <w:r w:rsidRPr="00694326">
              <w:rPr>
                <w:rFonts w:ascii="Arial" w:eastAsia="Times New Roman" w:hAnsi="Arial" w:cs="Arial"/>
                <w:b/>
                <w:sz w:val="20"/>
                <w:szCs w:val="20"/>
                <w:lang w:eastAsia="en-GB"/>
              </w:rPr>
              <w:t>Segment profit before tax</w:t>
            </w:r>
          </w:p>
        </w:tc>
        <w:tc>
          <w:tcPr>
            <w:tcW w:w="1468" w:type="dxa"/>
            <w:tcBorders>
              <w:top w:val="single" w:sz="4" w:space="0" w:color="auto"/>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w:t>
            </w:r>
            <w:r w:rsidR="00902660">
              <w:rPr>
                <w:rFonts w:ascii="Arial" w:eastAsia="Times New Roman" w:hAnsi="Arial" w:cs="Arial"/>
                <w:sz w:val="20"/>
                <w:szCs w:val="20"/>
                <w:lang w:eastAsia="en-GB"/>
              </w:rPr>
              <w:t>02</w:t>
            </w:r>
            <w:r w:rsidRPr="00694326">
              <w:rPr>
                <w:rFonts w:ascii="Arial" w:eastAsia="Times New Roman" w:hAnsi="Arial" w:cs="Arial"/>
                <w:sz w:val="20"/>
                <w:szCs w:val="20"/>
                <w:lang w:eastAsia="en-GB"/>
              </w:rPr>
              <w:t>6</w:t>
            </w: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7</w:t>
            </w:r>
            <w:r w:rsidR="00902660">
              <w:rPr>
                <w:rFonts w:ascii="Arial" w:eastAsia="Times New Roman" w:hAnsi="Arial" w:cs="Arial"/>
                <w:sz w:val="20"/>
                <w:szCs w:val="20"/>
                <w:lang w:eastAsia="en-GB"/>
              </w:rPr>
              <w:t>67</w:t>
            </w: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1,4</w:t>
            </w:r>
            <w:r w:rsidR="00902660">
              <w:rPr>
                <w:rFonts w:ascii="Arial" w:eastAsia="Times New Roman" w:hAnsi="Arial" w:cs="Arial"/>
                <w:sz w:val="20"/>
                <w:szCs w:val="20"/>
                <w:lang w:eastAsia="en-GB"/>
              </w:rPr>
              <w:t>90</w:t>
            </w:r>
          </w:p>
        </w:tc>
        <w:tc>
          <w:tcPr>
            <w:tcW w:w="1468" w:type="dxa"/>
            <w:tcBorders>
              <w:top w:val="nil"/>
              <w:left w:val="nil"/>
              <w:bottom w:val="single" w:sz="4" w:space="0" w:color="auto"/>
              <w:right w:val="nil"/>
            </w:tcBorders>
            <w:vAlign w:val="bottom"/>
          </w:tcPr>
          <w:p w:rsidR="00694326" w:rsidRPr="00694326" w:rsidRDefault="00902660" w:rsidP="0069432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121</w:t>
            </w: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3,404</w:t>
            </w:r>
          </w:p>
        </w:tc>
      </w:tr>
      <w:tr w:rsidR="00694326" w:rsidRPr="007B4511"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r>
      <w:tr w:rsidR="00694326" w:rsidRPr="007B4511"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sidRPr="003B1452">
              <w:rPr>
                <w:rFonts w:ascii="Arial" w:eastAsia="Times New Roman" w:hAnsi="Arial" w:cs="Arial"/>
                <w:i/>
                <w:iCs/>
                <w:sz w:val="20"/>
                <w:szCs w:val="20"/>
                <w:lang w:eastAsia="en-GB"/>
              </w:rPr>
              <w:t>Assets and liabilities</w:t>
            </w: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r>
      <w:tr w:rsidR="00694326" w:rsidRPr="00191DA8"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Segment assets</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20,129</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14,437</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13,492</w:t>
            </w:r>
          </w:p>
        </w:tc>
        <w:tc>
          <w:tcPr>
            <w:tcW w:w="1468" w:type="dxa"/>
            <w:tcBorders>
              <w:top w:val="nil"/>
              <w:left w:val="nil"/>
              <w:bottom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9,008</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57,066</w:t>
            </w:r>
          </w:p>
        </w:tc>
      </w:tr>
      <w:tr w:rsidR="00694326" w:rsidRPr="00191DA8"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Segment liabilities</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(8,950)</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(6,541)</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(4,818)</w:t>
            </w:r>
          </w:p>
        </w:tc>
        <w:tc>
          <w:tcPr>
            <w:tcW w:w="1468" w:type="dxa"/>
            <w:tcBorders>
              <w:top w:val="nil"/>
              <w:left w:val="nil"/>
              <w:bottom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(1,380)</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(21,689)</w:t>
            </w:r>
          </w:p>
        </w:tc>
      </w:tr>
      <w:tr w:rsidR="00694326" w:rsidRPr="00191DA8"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p>
        </w:tc>
      </w:tr>
      <w:tr w:rsidR="00694326" w:rsidRPr="00191DA8" w:rsidTr="00ED600C">
        <w:trPr>
          <w:trHeight w:val="58"/>
        </w:trPr>
        <w:tc>
          <w:tcPr>
            <w:tcW w:w="3400" w:type="dxa"/>
            <w:tcBorders>
              <w:top w:val="single" w:sz="4" w:space="0" w:color="auto"/>
              <w:left w:val="nil"/>
              <w:bottom w:val="single" w:sz="4" w:space="0" w:color="auto"/>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Segment net assets</w:t>
            </w:r>
          </w:p>
        </w:tc>
        <w:tc>
          <w:tcPr>
            <w:tcW w:w="1468" w:type="dxa"/>
            <w:tcBorders>
              <w:top w:val="single" w:sz="4" w:space="0" w:color="auto"/>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11,179</w:t>
            </w:r>
          </w:p>
        </w:tc>
        <w:tc>
          <w:tcPr>
            <w:tcW w:w="1468" w:type="dxa"/>
            <w:tcBorders>
              <w:top w:val="single" w:sz="4" w:space="0" w:color="auto"/>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7,896</w:t>
            </w:r>
          </w:p>
        </w:tc>
        <w:tc>
          <w:tcPr>
            <w:tcW w:w="1468" w:type="dxa"/>
            <w:tcBorders>
              <w:top w:val="single" w:sz="4" w:space="0" w:color="auto"/>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8,674</w:t>
            </w:r>
          </w:p>
        </w:tc>
        <w:tc>
          <w:tcPr>
            <w:tcW w:w="1468" w:type="dxa"/>
            <w:tcBorders>
              <w:top w:val="single" w:sz="4" w:space="0" w:color="auto"/>
              <w:left w:val="nil"/>
              <w:bottom w:val="single" w:sz="4" w:space="0" w:color="auto"/>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7,628</w:t>
            </w:r>
          </w:p>
        </w:tc>
        <w:tc>
          <w:tcPr>
            <w:tcW w:w="1468" w:type="dxa"/>
            <w:tcBorders>
              <w:top w:val="single" w:sz="4" w:space="0" w:color="auto"/>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35,377</w:t>
            </w:r>
          </w:p>
        </w:tc>
      </w:tr>
      <w:tr w:rsidR="00694326" w:rsidRPr="007B4511"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r>
      <w:tr w:rsidR="00694326" w:rsidRPr="007B4511"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sidRPr="003B1452">
              <w:rPr>
                <w:rFonts w:ascii="Arial" w:eastAsia="Times New Roman" w:hAnsi="Arial" w:cs="Arial"/>
                <w:i/>
                <w:iCs/>
                <w:sz w:val="20"/>
                <w:szCs w:val="20"/>
                <w:lang w:eastAsia="en-GB"/>
              </w:rPr>
              <w:t>Other segment information</w:t>
            </w: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r>
      <w:tr w:rsidR="00694326" w:rsidRPr="007B4511"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Capital expenditure:</w:t>
            </w: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r>
      <w:tr w:rsidR="00694326" w:rsidRPr="007B4511"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Property, plant and equipment</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2,057</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1,958</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260</w:t>
            </w:r>
          </w:p>
        </w:tc>
        <w:tc>
          <w:tcPr>
            <w:tcW w:w="1468" w:type="dxa"/>
            <w:tcBorders>
              <w:top w:val="nil"/>
              <w:left w:val="nil"/>
              <w:bottom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4,275</w:t>
            </w:r>
          </w:p>
        </w:tc>
      </w:tr>
      <w:tr w:rsidR="00694326" w:rsidRPr="007B4511"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Investment properties</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658</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bottom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658</w:t>
            </w:r>
          </w:p>
        </w:tc>
      </w:tr>
      <w:tr w:rsidR="00694326" w:rsidRPr="007B4511" w:rsidTr="00ED600C">
        <w:trPr>
          <w:trHeight w:val="58"/>
        </w:trPr>
        <w:tc>
          <w:tcPr>
            <w:tcW w:w="3400" w:type="dxa"/>
            <w:tcBorders>
              <w:top w:val="nil"/>
              <w:left w:val="nil"/>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Computer software</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41</w:t>
            </w:r>
          </w:p>
        </w:tc>
        <w:tc>
          <w:tcPr>
            <w:tcW w:w="1468" w:type="dxa"/>
            <w:tcBorders>
              <w:top w:val="nil"/>
              <w:left w:val="nil"/>
              <w:bottom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41</w:t>
            </w:r>
          </w:p>
        </w:tc>
      </w:tr>
      <w:tr w:rsidR="00694326" w:rsidRPr="007B4511" w:rsidTr="00ED600C">
        <w:trPr>
          <w:trHeight w:val="58"/>
        </w:trPr>
        <w:tc>
          <w:tcPr>
            <w:tcW w:w="3400" w:type="dxa"/>
            <w:tcBorders>
              <w:top w:val="nil"/>
              <w:left w:val="nil"/>
              <w:bottom w:val="nil"/>
              <w:right w:val="nil"/>
            </w:tcBorders>
            <w:shd w:val="clear" w:color="auto" w:fill="auto"/>
            <w:noWrap/>
            <w:vAlign w:val="bottom"/>
          </w:tcPr>
          <w:p w:rsidR="00B7148E" w:rsidRDefault="00694326" w:rsidP="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 xml:space="preserve">Depreciation </w:t>
            </w:r>
          </w:p>
          <w:p w:rsidR="00694326" w:rsidRPr="003B1452" w:rsidRDefault="00694326" w:rsidP="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 xml:space="preserve"> </w:t>
            </w:r>
            <w:r w:rsidR="00B7148E">
              <w:rPr>
                <w:rFonts w:ascii="Arial" w:eastAsia="Times New Roman" w:hAnsi="Arial" w:cs="Arial"/>
                <w:sz w:val="20"/>
                <w:szCs w:val="20"/>
                <w:lang w:eastAsia="en-GB"/>
              </w:rPr>
              <w:t>P</w:t>
            </w:r>
            <w:r w:rsidRPr="003B1452">
              <w:rPr>
                <w:rFonts w:ascii="Arial" w:eastAsia="Times New Roman" w:hAnsi="Arial" w:cs="Arial"/>
                <w:sz w:val="20"/>
                <w:szCs w:val="20"/>
                <w:lang w:eastAsia="en-GB"/>
              </w:rPr>
              <w:t>roperty, plant and equipment</w:t>
            </w:r>
          </w:p>
        </w:tc>
        <w:tc>
          <w:tcPr>
            <w:tcW w:w="1468" w:type="dxa"/>
            <w:tcBorders>
              <w:top w:val="nil"/>
              <w:left w:val="nil"/>
              <w:bottom w:val="nil"/>
              <w:right w:val="nil"/>
            </w:tcBorders>
            <w:shd w:val="clear" w:color="auto" w:fill="auto"/>
            <w:noWrap/>
            <w:vAlign w:val="bottom"/>
          </w:tcPr>
          <w:p w:rsidR="00694326" w:rsidRPr="00694326" w:rsidRDefault="003A44CF" w:rsidP="0069432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429</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332</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307</w:t>
            </w:r>
          </w:p>
        </w:tc>
        <w:tc>
          <w:tcPr>
            <w:tcW w:w="1468" w:type="dxa"/>
            <w:tcBorders>
              <w:top w:val="nil"/>
              <w:left w:val="nil"/>
              <w:bottom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1,0</w:t>
            </w:r>
            <w:r w:rsidR="003A44CF">
              <w:rPr>
                <w:rFonts w:ascii="Arial" w:eastAsia="Times New Roman" w:hAnsi="Arial" w:cs="Arial"/>
                <w:sz w:val="20"/>
                <w:szCs w:val="20"/>
                <w:lang w:eastAsia="en-GB"/>
              </w:rPr>
              <w:t>68</w:t>
            </w:r>
          </w:p>
        </w:tc>
      </w:tr>
      <w:tr w:rsidR="00694326" w:rsidRPr="007B4511" w:rsidTr="00ED600C">
        <w:trPr>
          <w:trHeight w:val="58"/>
        </w:trPr>
        <w:tc>
          <w:tcPr>
            <w:tcW w:w="3400" w:type="dxa"/>
            <w:tcBorders>
              <w:top w:val="nil"/>
              <w:left w:val="nil"/>
              <w:right w:val="nil"/>
            </w:tcBorders>
            <w:shd w:val="clear" w:color="auto" w:fill="auto"/>
            <w:noWrap/>
            <w:vAlign w:val="bottom"/>
          </w:tcPr>
          <w:p w:rsidR="00694326" w:rsidRPr="003B1452" w:rsidRDefault="00B7148E" w:rsidP="00ED600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I</w:t>
            </w:r>
            <w:r w:rsidR="00694326" w:rsidRPr="003B1452">
              <w:rPr>
                <w:rFonts w:ascii="Arial" w:eastAsia="Times New Roman" w:hAnsi="Arial" w:cs="Arial"/>
                <w:sz w:val="20"/>
                <w:szCs w:val="20"/>
                <w:lang w:eastAsia="en-GB"/>
              </w:rPr>
              <w:t>nvestment properties</w:t>
            </w:r>
          </w:p>
        </w:tc>
        <w:tc>
          <w:tcPr>
            <w:tcW w:w="1468" w:type="dxa"/>
            <w:tcBorders>
              <w:top w:val="nil"/>
              <w:left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48</w:t>
            </w:r>
          </w:p>
        </w:tc>
        <w:tc>
          <w:tcPr>
            <w:tcW w:w="1468" w:type="dxa"/>
            <w:tcBorders>
              <w:top w:val="nil"/>
              <w:left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48</w:t>
            </w:r>
          </w:p>
        </w:tc>
      </w:tr>
      <w:tr w:rsidR="00694326" w:rsidRPr="007B4511" w:rsidTr="00ED600C">
        <w:trPr>
          <w:trHeight w:val="58"/>
        </w:trPr>
        <w:tc>
          <w:tcPr>
            <w:tcW w:w="3400" w:type="dxa"/>
            <w:tcBorders>
              <w:top w:val="nil"/>
              <w:left w:val="nil"/>
              <w:right w:val="nil"/>
            </w:tcBorders>
            <w:shd w:val="clear" w:color="auto" w:fill="auto"/>
            <w:noWrap/>
            <w:vAlign w:val="bottom"/>
          </w:tcPr>
          <w:p w:rsidR="00694326" w:rsidRPr="003B1452" w:rsidRDefault="00B7148E" w:rsidP="00ED600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C</w:t>
            </w:r>
            <w:r w:rsidR="00694326" w:rsidRPr="00694326">
              <w:rPr>
                <w:rFonts w:ascii="Arial" w:eastAsia="Times New Roman" w:hAnsi="Arial" w:cs="Arial"/>
                <w:sz w:val="20"/>
                <w:szCs w:val="20"/>
                <w:lang w:eastAsia="en-GB"/>
              </w:rPr>
              <w:t>omputer software</w:t>
            </w:r>
          </w:p>
        </w:tc>
        <w:tc>
          <w:tcPr>
            <w:tcW w:w="1468" w:type="dxa"/>
            <w:tcBorders>
              <w:top w:val="nil"/>
              <w:left w:val="nil"/>
              <w:right w:val="nil"/>
            </w:tcBorders>
            <w:shd w:val="clear" w:color="auto" w:fill="auto"/>
            <w:noWrap/>
            <w:vAlign w:val="bottom"/>
          </w:tcPr>
          <w:p w:rsidR="00694326" w:rsidRPr="00694326" w:rsidRDefault="003A44CF" w:rsidP="0069432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117</w:t>
            </w:r>
          </w:p>
        </w:tc>
        <w:tc>
          <w:tcPr>
            <w:tcW w:w="1468" w:type="dxa"/>
            <w:tcBorders>
              <w:top w:val="nil"/>
              <w:left w:val="nil"/>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right w:val="nil"/>
            </w:tcBorders>
            <w:shd w:val="clear" w:color="auto" w:fill="auto"/>
            <w:noWrap/>
            <w:vAlign w:val="bottom"/>
          </w:tcPr>
          <w:p w:rsidR="00694326" w:rsidRPr="00694326" w:rsidRDefault="0012471C" w:rsidP="0069432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r w:rsidR="003A44CF">
              <w:rPr>
                <w:rFonts w:ascii="Arial" w:eastAsia="Times New Roman" w:hAnsi="Arial" w:cs="Arial"/>
                <w:sz w:val="20"/>
                <w:szCs w:val="20"/>
                <w:lang w:eastAsia="en-GB"/>
              </w:rPr>
              <w:t>17</w:t>
            </w:r>
          </w:p>
        </w:tc>
      </w:tr>
      <w:tr w:rsidR="00694326" w:rsidRPr="007B4511" w:rsidTr="00ED600C">
        <w:trPr>
          <w:trHeight w:val="58"/>
        </w:trPr>
        <w:tc>
          <w:tcPr>
            <w:tcW w:w="3400" w:type="dxa"/>
            <w:tcBorders>
              <w:top w:val="nil"/>
              <w:left w:val="nil"/>
              <w:bottom w:val="single" w:sz="4" w:space="0" w:color="auto"/>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sidRPr="00694326">
              <w:rPr>
                <w:rFonts w:ascii="Arial" w:eastAsia="Times New Roman" w:hAnsi="Arial" w:cs="Arial"/>
                <w:sz w:val="20"/>
                <w:szCs w:val="20"/>
                <w:lang w:eastAsia="en-GB"/>
              </w:rPr>
              <w:t>Amortisation of intangible assets on acqu</w:t>
            </w:r>
            <w:r>
              <w:rPr>
                <w:rFonts w:ascii="Arial" w:eastAsia="Times New Roman" w:hAnsi="Arial" w:cs="Arial"/>
                <w:sz w:val="20"/>
                <w:szCs w:val="20"/>
                <w:lang w:eastAsia="en-GB"/>
              </w:rPr>
              <w:t>i</w:t>
            </w:r>
            <w:r w:rsidRPr="00694326">
              <w:rPr>
                <w:rFonts w:ascii="Arial" w:eastAsia="Times New Roman" w:hAnsi="Arial" w:cs="Arial"/>
                <w:sz w:val="20"/>
                <w:szCs w:val="20"/>
                <w:lang w:eastAsia="en-GB"/>
              </w:rPr>
              <w:t xml:space="preserve">sition of </w:t>
            </w:r>
            <w:proofErr w:type="spellStart"/>
            <w:r w:rsidRPr="00694326">
              <w:rPr>
                <w:rFonts w:ascii="Arial" w:eastAsia="Times New Roman" w:hAnsi="Arial" w:cs="Arial"/>
                <w:sz w:val="20"/>
                <w:szCs w:val="20"/>
                <w:lang w:eastAsia="en-GB"/>
              </w:rPr>
              <w:t>Momart</w:t>
            </w:r>
            <w:proofErr w:type="spellEnd"/>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307</w:t>
            </w:r>
          </w:p>
        </w:tc>
        <w:tc>
          <w:tcPr>
            <w:tcW w:w="1468" w:type="dxa"/>
            <w:tcBorders>
              <w:top w:val="nil"/>
              <w:left w:val="nil"/>
              <w:bottom w:val="single" w:sz="4" w:space="0" w:color="auto"/>
              <w:right w:val="nil"/>
            </w:tcBorders>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w:t>
            </w:r>
          </w:p>
        </w:tc>
        <w:tc>
          <w:tcPr>
            <w:tcW w:w="1468" w:type="dxa"/>
            <w:tcBorders>
              <w:top w:val="nil"/>
              <w:left w:val="nil"/>
              <w:bottom w:val="single" w:sz="4" w:space="0" w:color="auto"/>
              <w:right w:val="nil"/>
            </w:tcBorders>
            <w:shd w:val="clear" w:color="auto" w:fill="auto"/>
            <w:noWrap/>
            <w:vAlign w:val="bottom"/>
          </w:tcPr>
          <w:p w:rsidR="00694326" w:rsidRPr="00694326" w:rsidRDefault="00694326" w:rsidP="00694326">
            <w:pPr>
              <w:spacing w:after="0" w:line="240" w:lineRule="auto"/>
              <w:jc w:val="right"/>
              <w:rPr>
                <w:rFonts w:ascii="Arial" w:eastAsia="Times New Roman" w:hAnsi="Arial" w:cs="Arial"/>
                <w:sz w:val="20"/>
                <w:szCs w:val="20"/>
                <w:lang w:eastAsia="en-GB"/>
              </w:rPr>
            </w:pPr>
            <w:r w:rsidRPr="00694326">
              <w:rPr>
                <w:rFonts w:ascii="Arial" w:eastAsia="Times New Roman" w:hAnsi="Arial" w:cs="Arial"/>
                <w:sz w:val="20"/>
                <w:szCs w:val="20"/>
                <w:lang w:eastAsia="en-GB"/>
              </w:rPr>
              <w:t>307</w:t>
            </w:r>
          </w:p>
        </w:tc>
      </w:tr>
      <w:tr w:rsidR="00694326" w:rsidRPr="007B4511" w:rsidTr="00ED600C">
        <w:trPr>
          <w:trHeight w:val="58"/>
        </w:trPr>
        <w:tc>
          <w:tcPr>
            <w:tcW w:w="3400" w:type="dxa"/>
            <w:tcBorders>
              <w:top w:val="single" w:sz="4" w:space="0" w:color="auto"/>
              <w:left w:val="nil"/>
              <w:bottom w:val="single" w:sz="4" w:space="0" w:color="auto"/>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p>
        </w:tc>
        <w:tc>
          <w:tcPr>
            <w:tcW w:w="1468" w:type="dxa"/>
            <w:tcBorders>
              <w:top w:val="single" w:sz="4" w:space="0" w:color="auto"/>
              <w:left w:val="nil"/>
              <w:bottom w:val="single" w:sz="4" w:space="0" w:color="auto"/>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single" w:sz="4" w:space="0" w:color="auto"/>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single" w:sz="4" w:space="0" w:color="auto"/>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single" w:sz="4" w:space="0" w:color="auto"/>
              <w:right w:val="nil"/>
            </w:tcBorders>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single" w:sz="4" w:space="0" w:color="auto"/>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r>
      <w:tr w:rsidR="00694326" w:rsidRPr="007B4511" w:rsidTr="00ED600C">
        <w:trPr>
          <w:trHeight w:val="335"/>
        </w:trPr>
        <w:tc>
          <w:tcPr>
            <w:tcW w:w="3400" w:type="dxa"/>
            <w:tcBorders>
              <w:top w:val="single" w:sz="4" w:space="0" w:color="auto"/>
              <w:left w:val="single" w:sz="4" w:space="0" w:color="auto"/>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sidRPr="003B1452">
              <w:rPr>
                <w:rFonts w:ascii="Arial" w:eastAsia="Times New Roman" w:hAnsi="Arial" w:cs="Arial"/>
                <w:b/>
                <w:bCs/>
                <w:sz w:val="20"/>
                <w:szCs w:val="20"/>
                <w:lang w:eastAsia="en-GB"/>
              </w:rPr>
              <w:t>Underlying profit before tax</w:t>
            </w:r>
          </w:p>
        </w:tc>
        <w:tc>
          <w:tcPr>
            <w:tcW w:w="1468" w:type="dxa"/>
            <w:tcBorders>
              <w:top w:val="single" w:sz="4" w:space="0" w:color="auto"/>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nil"/>
              <w:right w:val="nil"/>
            </w:tcBorders>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nil"/>
              <w:right w:val="single" w:sz="4" w:space="0" w:color="auto"/>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p>
        </w:tc>
      </w:tr>
      <w:tr w:rsidR="00ED600C" w:rsidRPr="007B4511" w:rsidTr="00ED600C">
        <w:trPr>
          <w:trHeight w:val="58"/>
        </w:trPr>
        <w:tc>
          <w:tcPr>
            <w:tcW w:w="3400" w:type="dxa"/>
            <w:tcBorders>
              <w:top w:val="nil"/>
              <w:left w:val="single" w:sz="4" w:space="0" w:color="auto"/>
              <w:bottom w:val="nil"/>
              <w:right w:val="nil"/>
            </w:tcBorders>
            <w:shd w:val="clear" w:color="auto" w:fill="auto"/>
            <w:noWrap/>
            <w:vAlign w:val="bottom"/>
          </w:tcPr>
          <w:p w:rsidR="00ED600C" w:rsidRPr="007B4511" w:rsidRDefault="00ED600C" w:rsidP="00ED600C">
            <w:pPr>
              <w:spacing w:after="0" w:line="240" w:lineRule="auto"/>
              <w:rPr>
                <w:rFonts w:ascii="Arial" w:eastAsia="Times New Roman" w:hAnsi="Arial" w:cs="Arial"/>
                <w:sz w:val="20"/>
                <w:szCs w:val="20"/>
                <w:lang w:eastAsia="en-GB"/>
              </w:rPr>
            </w:pPr>
            <w:r w:rsidRPr="007B4511">
              <w:rPr>
                <w:rFonts w:ascii="Arial" w:eastAsia="Times New Roman" w:hAnsi="Arial" w:cs="Arial"/>
                <w:bCs/>
                <w:sz w:val="20"/>
                <w:szCs w:val="20"/>
                <w:lang w:eastAsia="en-GB"/>
              </w:rPr>
              <w:t>Segment operating profit</w:t>
            </w:r>
          </w:p>
        </w:tc>
        <w:tc>
          <w:tcPr>
            <w:tcW w:w="1468"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977</w:t>
            </w:r>
          </w:p>
        </w:tc>
        <w:tc>
          <w:tcPr>
            <w:tcW w:w="1468"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1,013</w:t>
            </w:r>
          </w:p>
        </w:tc>
        <w:tc>
          <w:tcPr>
            <w:tcW w:w="1468"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1,826</w:t>
            </w:r>
          </w:p>
        </w:tc>
        <w:tc>
          <w:tcPr>
            <w:tcW w:w="1468" w:type="dxa"/>
            <w:tcBorders>
              <w:top w:val="nil"/>
              <w:left w:val="nil"/>
              <w:bottom w:val="nil"/>
              <w:right w:val="nil"/>
            </w:tcBorders>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w:t>
            </w:r>
          </w:p>
        </w:tc>
        <w:tc>
          <w:tcPr>
            <w:tcW w:w="1468" w:type="dxa"/>
            <w:tcBorders>
              <w:top w:val="nil"/>
              <w:left w:val="nil"/>
              <w:bottom w:val="nil"/>
              <w:right w:val="single" w:sz="4" w:space="0" w:color="auto"/>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3,816</w:t>
            </w:r>
          </w:p>
        </w:tc>
      </w:tr>
      <w:tr w:rsidR="00ED600C" w:rsidRPr="007B4511" w:rsidTr="00ED600C">
        <w:trPr>
          <w:trHeight w:val="58"/>
        </w:trPr>
        <w:tc>
          <w:tcPr>
            <w:tcW w:w="3400" w:type="dxa"/>
            <w:tcBorders>
              <w:top w:val="nil"/>
              <w:left w:val="single" w:sz="4" w:space="0" w:color="auto"/>
              <w:bottom w:val="nil"/>
              <w:right w:val="nil"/>
            </w:tcBorders>
            <w:shd w:val="clear" w:color="auto" w:fill="auto"/>
            <w:noWrap/>
            <w:vAlign w:val="bottom"/>
          </w:tcPr>
          <w:p w:rsidR="00ED600C" w:rsidRPr="003B1452" w:rsidRDefault="00ED600C" w:rsidP="00ED600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Share of results of joint venture</w:t>
            </w:r>
          </w:p>
        </w:tc>
        <w:tc>
          <w:tcPr>
            <w:tcW w:w="1468"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36</w:t>
            </w:r>
          </w:p>
        </w:tc>
        <w:tc>
          <w:tcPr>
            <w:tcW w:w="1468"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w:t>
            </w:r>
          </w:p>
        </w:tc>
        <w:tc>
          <w:tcPr>
            <w:tcW w:w="1468" w:type="dxa"/>
            <w:tcBorders>
              <w:top w:val="nil"/>
              <w:left w:val="nil"/>
              <w:bottom w:val="nil"/>
              <w:right w:val="nil"/>
            </w:tcBorders>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w:t>
            </w:r>
          </w:p>
        </w:tc>
        <w:tc>
          <w:tcPr>
            <w:tcW w:w="1468" w:type="dxa"/>
            <w:tcBorders>
              <w:top w:val="nil"/>
              <w:left w:val="nil"/>
              <w:bottom w:val="nil"/>
              <w:right w:val="single" w:sz="4" w:space="0" w:color="auto"/>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36</w:t>
            </w:r>
          </w:p>
        </w:tc>
      </w:tr>
      <w:tr w:rsidR="00ED600C" w:rsidRPr="007B4511" w:rsidTr="00ED600C">
        <w:trPr>
          <w:trHeight w:val="335"/>
        </w:trPr>
        <w:tc>
          <w:tcPr>
            <w:tcW w:w="3400" w:type="dxa"/>
            <w:tcBorders>
              <w:top w:val="single" w:sz="4" w:space="0" w:color="auto"/>
              <w:left w:val="single" w:sz="4" w:space="0" w:color="auto"/>
              <w:bottom w:val="nil"/>
              <w:right w:val="nil"/>
            </w:tcBorders>
            <w:shd w:val="clear" w:color="auto" w:fill="auto"/>
            <w:noWrap/>
            <w:vAlign w:val="bottom"/>
          </w:tcPr>
          <w:p w:rsidR="00ED600C" w:rsidRPr="003B1452" w:rsidRDefault="00ED600C" w:rsidP="00ED600C">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Underlying profit before net financing costs</w:t>
            </w:r>
          </w:p>
        </w:tc>
        <w:tc>
          <w:tcPr>
            <w:tcW w:w="1468" w:type="dxa"/>
            <w:tcBorders>
              <w:top w:val="single" w:sz="4" w:space="0" w:color="auto"/>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1,013</w:t>
            </w:r>
          </w:p>
        </w:tc>
        <w:tc>
          <w:tcPr>
            <w:tcW w:w="1468" w:type="dxa"/>
            <w:tcBorders>
              <w:top w:val="single" w:sz="4" w:space="0" w:color="auto"/>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1,013</w:t>
            </w:r>
          </w:p>
        </w:tc>
        <w:tc>
          <w:tcPr>
            <w:tcW w:w="1468" w:type="dxa"/>
            <w:tcBorders>
              <w:top w:val="single" w:sz="4" w:space="0" w:color="auto"/>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1,826</w:t>
            </w:r>
          </w:p>
        </w:tc>
        <w:tc>
          <w:tcPr>
            <w:tcW w:w="1468" w:type="dxa"/>
            <w:tcBorders>
              <w:top w:val="single" w:sz="4" w:space="0" w:color="auto"/>
              <w:left w:val="nil"/>
              <w:bottom w:val="nil"/>
              <w:right w:val="nil"/>
            </w:tcBorders>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w:t>
            </w:r>
          </w:p>
        </w:tc>
        <w:tc>
          <w:tcPr>
            <w:tcW w:w="1468" w:type="dxa"/>
            <w:tcBorders>
              <w:top w:val="single" w:sz="4" w:space="0" w:color="auto"/>
              <w:left w:val="nil"/>
              <w:bottom w:val="nil"/>
              <w:right w:val="single" w:sz="4" w:space="0" w:color="auto"/>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3,852</w:t>
            </w:r>
          </w:p>
        </w:tc>
      </w:tr>
      <w:tr w:rsidR="00ED600C" w:rsidRPr="007B4511" w:rsidTr="00ED600C">
        <w:trPr>
          <w:trHeight w:val="58"/>
        </w:trPr>
        <w:tc>
          <w:tcPr>
            <w:tcW w:w="3400" w:type="dxa"/>
            <w:tcBorders>
              <w:top w:val="nil"/>
              <w:left w:val="single" w:sz="4" w:space="0" w:color="auto"/>
              <w:bottom w:val="nil"/>
              <w:right w:val="nil"/>
            </w:tcBorders>
            <w:shd w:val="clear" w:color="auto" w:fill="auto"/>
            <w:noWrap/>
            <w:vAlign w:val="bottom"/>
          </w:tcPr>
          <w:p w:rsidR="00ED600C" w:rsidRPr="003B1452" w:rsidRDefault="00ED600C" w:rsidP="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Interest income</w:t>
            </w:r>
          </w:p>
        </w:tc>
        <w:tc>
          <w:tcPr>
            <w:tcW w:w="1468" w:type="dxa"/>
            <w:tcBorders>
              <w:top w:val="nil"/>
              <w:left w:val="nil"/>
              <w:bottom w:val="nil"/>
              <w:right w:val="nil"/>
            </w:tcBorders>
            <w:shd w:val="clear" w:color="auto" w:fill="auto"/>
            <w:noWrap/>
            <w:vAlign w:val="bottom"/>
          </w:tcPr>
          <w:p w:rsidR="00ED600C" w:rsidRPr="00ED600C" w:rsidRDefault="00902660"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121</w:t>
            </w:r>
          </w:p>
        </w:tc>
        <w:tc>
          <w:tcPr>
            <w:tcW w:w="1468" w:type="dxa"/>
            <w:tcBorders>
              <w:top w:val="nil"/>
              <w:left w:val="nil"/>
              <w:bottom w:val="nil"/>
              <w:right w:val="nil"/>
            </w:tcBorders>
            <w:shd w:val="clear" w:color="auto" w:fill="auto"/>
            <w:noWrap/>
            <w:vAlign w:val="bottom"/>
          </w:tcPr>
          <w:p w:rsidR="00ED600C" w:rsidRPr="00ED600C" w:rsidRDefault="00902660"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ED600C" w:rsidRPr="00ED600C" w:rsidRDefault="00902660"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bottom w:val="nil"/>
              <w:right w:val="nil"/>
            </w:tcBorders>
            <w:vAlign w:val="bottom"/>
          </w:tcPr>
          <w:p w:rsidR="00ED600C" w:rsidRPr="00ED600C" w:rsidRDefault="00902660"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1468" w:type="dxa"/>
            <w:tcBorders>
              <w:top w:val="nil"/>
              <w:left w:val="nil"/>
              <w:bottom w:val="nil"/>
              <w:right w:val="single" w:sz="4" w:space="0" w:color="auto"/>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220</w:t>
            </w:r>
          </w:p>
        </w:tc>
      </w:tr>
      <w:tr w:rsidR="00ED600C" w:rsidRPr="007B4511" w:rsidTr="00ED600C">
        <w:trPr>
          <w:trHeight w:val="58"/>
        </w:trPr>
        <w:tc>
          <w:tcPr>
            <w:tcW w:w="3400" w:type="dxa"/>
            <w:tcBorders>
              <w:top w:val="nil"/>
              <w:left w:val="single" w:sz="4" w:space="0" w:color="auto"/>
              <w:bottom w:val="nil"/>
              <w:right w:val="nil"/>
            </w:tcBorders>
            <w:shd w:val="clear" w:color="auto" w:fill="auto"/>
            <w:noWrap/>
            <w:vAlign w:val="bottom"/>
          </w:tcPr>
          <w:p w:rsidR="00ED600C" w:rsidRPr="003B1452" w:rsidRDefault="00ED600C" w:rsidP="00ED600C">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Interest expense</w:t>
            </w:r>
          </w:p>
        </w:tc>
        <w:tc>
          <w:tcPr>
            <w:tcW w:w="1468"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(108)</w:t>
            </w:r>
          </w:p>
        </w:tc>
        <w:tc>
          <w:tcPr>
            <w:tcW w:w="1468"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(246)</w:t>
            </w:r>
          </w:p>
        </w:tc>
        <w:tc>
          <w:tcPr>
            <w:tcW w:w="1468"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w:t>
            </w:r>
            <w:r w:rsidR="00902660">
              <w:rPr>
                <w:rFonts w:ascii="Arial" w:eastAsia="Times New Roman" w:hAnsi="Arial" w:cs="Arial"/>
                <w:sz w:val="20"/>
                <w:szCs w:val="20"/>
                <w:lang w:eastAsia="en-GB"/>
              </w:rPr>
              <w:t>29</w:t>
            </w:r>
            <w:r w:rsidRPr="00ED600C">
              <w:rPr>
                <w:rFonts w:ascii="Arial" w:eastAsia="Times New Roman" w:hAnsi="Arial" w:cs="Arial"/>
                <w:sz w:val="20"/>
                <w:szCs w:val="20"/>
                <w:lang w:eastAsia="en-GB"/>
              </w:rPr>
              <w:t>)</w:t>
            </w:r>
          </w:p>
        </w:tc>
        <w:tc>
          <w:tcPr>
            <w:tcW w:w="1468" w:type="dxa"/>
            <w:tcBorders>
              <w:top w:val="nil"/>
              <w:left w:val="nil"/>
              <w:bottom w:val="nil"/>
              <w:right w:val="nil"/>
            </w:tcBorders>
            <w:vAlign w:val="bottom"/>
          </w:tcPr>
          <w:p w:rsidR="00ED600C" w:rsidRPr="00ED600C" w:rsidRDefault="00902660"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(42)</w:t>
            </w:r>
          </w:p>
        </w:tc>
        <w:tc>
          <w:tcPr>
            <w:tcW w:w="1468" w:type="dxa"/>
            <w:tcBorders>
              <w:top w:val="nil"/>
              <w:left w:val="nil"/>
              <w:bottom w:val="nil"/>
              <w:right w:val="single" w:sz="4" w:space="0" w:color="auto"/>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(425)</w:t>
            </w:r>
          </w:p>
        </w:tc>
      </w:tr>
      <w:tr w:rsidR="00ED600C" w:rsidRPr="007B4511" w:rsidTr="00ED600C">
        <w:trPr>
          <w:trHeight w:val="58"/>
        </w:trPr>
        <w:tc>
          <w:tcPr>
            <w:tcW w:w="3400" w:type="dxa"/>
            <w:tcBorders>
              <w:top w:val="single" w:sz="4" w:space="0" w:color="auto"/>
              <w:left w:val="single" w:sz="4" w:space="0" w:color="auto"/>
              <w:bottom w:val="single" w:sz="4" w:space="0" w:color="auto"/>
              <w:right w:val="nil"/>
            </w:tcBorders>
            <w:shd w:val="clear" w:color="auto" w:fill="auto"/>
            <w:noWrap/>
            <w:vAlign w:val="bottom"/>
          </w:tcPr>
          <w:p w:rsidR="00ED600C" w:rsidRPr="003B1452" w:rsidRDefault="00ED600C" w:rsidP="00ED600C">
            <w:pPr>
              <w:spacing w:after="0" w:line="240" w:lineRule="auto"/>
              <w:rPr>
                <w:rFonts w:ascii="Arial" w:eastAsia="Times New Roman" w:hAnsi="Arial" w:cs="Arial"/>
                <w:sz w:val="20"/>
                <w:szCs w:val="20"/>
                <w:lang w:eastAsia="en-GB"/>
              </w:rPr>
            </w:pPr>
            <w:r w:rsidRPr="003B1452">
              <w:rPr>
                <w:rFonts w:ascii="Arial" w:eastAsia="Times New Roman" w:hAnsi="Arial" w:cs="Arial"/>
                <w:b/>
                <w:bCs/>
                <w:sz w:val="20"/>
                <w:szCs w:val="20"/>
                <w:lang w:eastAsia="en-GB"/>
              </w:rPr>
              <w:t>Underlying profit before tax</w:t>
            </w:r>
          </w:p>
        </w:tc>
        <w:tc>
          <w:tcPr>
            <w:tcW w:w="1468" w:type="dxa"/>
            <w:tcBorders>
              <w:top w:val="single" w:sz="4" w:space="0" w:color="auto"/>
              <w:left w:val="nil"/>
              <w:bottom w:val="single" w:sz="4" w:space="0" w:color="auto"/>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1,</w:t>
            </w:r>
            <w:r w:rsidR="00902660">
              <w:rPr>
                <w:rFonts w:ascii="Arial" w:eastAsia="Times New Roman" w:hAnsi="Arial" w:cs="Arial"/>
                <w:sz w:val="20"/>
                <w:szCs w:val="20"/>
                <w:lang w:eastAsia="en-GB"/>
              </w:rPr>
              <w:t>026</w:t>
            </w:r>
          </w:p>
        </w:tc>
        <w:tc>
          <w:tcPr>
            <w:tcW w:w="1468" w:type="dxa"/>
            <w:tcBorders>
              <w:top w:val="single" w:sz="4" w:space="0" w:color="auto"/>
              <w:left w:val="nil"/>
              <w:bottom w:val="single" w:sz="4" w:space="0" w:color="auto"/>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7</w:t>
            </w:r>
            <w:r w:rsidR="00902660">
              <w:rPr>
                <w:rFonts w:ascii="Arial" w:eastAsia="Times New Roman" w:hAnsi="Arial" w:cs="Arial"/>
                <w:sz w:val="20"/>
                <w:szCs w:val="20"/>
                <w:lang w:eastAsia="en-GB"/>
              </w:rPr>
              <w:t>67</w:t>
            </w:r>
          </w:p>
        </w:tc>
        <w:tc>
          <w:tcPr>
            <w:tcW w:w="1468" w:type="dxa"/>
            <w:tcBorders>
              <w:top w:val="single" w:sz="4" w:space="0" w:color="auto"/>
              <w:left w:val="nil"/>
              <w:bottom w:val="single" w:sz="4" w:space="0" w:color="auto"/>
              <w:right w:val="nil"/>
            </w:tcBorders>
            <w:shd w:val="clear" w:color="auto" w:fill="auto"/>
            <w:noWrap/>
            <w:vAlign w:val="bottom"/>
          </w:tcPr>
          <w:p w:rsidR="00ED600C" w:rsidRPr="00ED600C" w:rsidRDefault="00ED600C" w:rsidP="00902660">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1,7</w:t>
            </w:r>
            <w:r w:rsidR="00902660">
              <w:rPr>
                <w:rFonts w:ascii="Arial" w:eastAsia="Times New Roman" w:hAnsi="Arial" w:cs="Arial"/>
                <w:sz w:val="20"/>
                <w:szCs w:val="20"/>
                <w:lang w:eastAsia="en-GB"/>
              </w:rPr>
              <w:t>97</w:t>
            </w:r>
          </w:p>
        </w:tc>
        <w:tc>
          <w:tcPr>
            <w:tcW w:w="1468" w:type="dxa"/>
            <w:tcBorders>
              <w:top w:val="single" w:sz="4" w:space="0" w:color="auto"/>
              <w:left w:val="nil"/>
              <w:bottom w:val="single" w:sz="4" w:space="0" w:color="auto"/>
              <w:right w:val="nil"/>
            </w:tcBorders>
            <w:vAlign w:val="bottom"/>
          </w:tcPr>
          <w:p w:rsidR="00ED600C" w:rsidRPr="00ED600C" w:rsidRDefault="00902660"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3,647</w:t>
            </w:r>
          </w:p>
        </w:tc>
      </w:tr>
    </w:tbl>
    <w:p w:rsidR="00694326" w:rsidRDefault="00694326" w:rsidP="00191DA8">
      <w:pPr>
        <w:spacing w:after="0" w:line="240" w:lineRule="auto"/>
        <w:jc w:val="both"/>
        <w:rPr>
          <w:rFonts w:ascii="Arial" w:hAnsi="Arial" w:cs="Arial"/>
          <w:sz w:val="20"/>
          <w:szCs w:val="20"/>
        </w:rPr>
      </w:pPr>
    </w:p>
    <w:p w:rsidR="00694326" w:rsidRDefault="00694326">
      <w:pPr>
        <w:spacing w:after="0" w:line="240" w:lineRule="auto"/>
        <w:rPr>
          <w:rFonts w:ascii="Arial" w:hAnsi="Arial" w:cs="Arial"/>
          <w:sz w:val="20"/>
          <w:szCs w:val="20"/>
        </w:rPr>
      </w:pPr>
      <w:r>
        <w:rPr>
          <w:rFonts w:ascii="Arial" w:hAnsi="Arial" w:cs="Arial"/>
          <w:sz w:val="20"/>
          <w:szCs w:val="20"/>
        </w:rPr>
        <w:br w:type="page"/>
      </w:r>
    </w:p>
    <w:p w:rsidR="00694326" w:rsidRDefault="00694326" w:rsidP="00191DA8">
      <w:pPr>
        <w:spacing w:after="0" w:line="240" w:lineRule="auto"/>
        <w:jc w:val="both"/>
        <w:rPr>
          <w:rFonts w:ascii="Arial" w:hAnsi="Arial" w:cs="Arial"/>
          <w:sz w:val="20"/>
          <w:szCs w:val="20"/>
        </w:rPr>
      </w:pPr>
    </w:p>
    <w:p w:rsidR="00694326" w:rsidRDefault="00694326" w:rsidP="00694326">
      <w:pPr>
        <w:rPr>
          <w:rFonts w:ascii="Arial" w:hAnsi="Arial" w:cs="Arial"/>
          <w:b/>
          <w:sz w:val="20"/>
          <w:szCs w:val="20"/>
        </w:rPr>
      </w:pPr>
      <w:r>
        <w:rPr>
          <w:rFonts w:ascii="Arial" w:hAnsi="Arial" w:cs="Arial"/>
          <w:b/>
          <w:sz w:val="20"/>
          <w:szCs w:val="20"/>
        </w:rPr>
        <w:t>2</w:t>
      </w:r>
      <w:r w:rsidRPr="0032540A">
        <w:rPr>
          <w:rFonts w:ascii="Arial" w:hAnsi="Arial" w:cs="Arial"/>
          <w:b/>
          <w:sz w:val="20"/>
          <w:szCs w:val="20"/>
        </w:rPr>
        <w:t xml:space="preserve">.  </w:t>
      </w:r>
      <w:r>
        <w:rPr>
          <w:rFonts w:ascii="Arial" w:hAnsi="Arial" w:cs="Arial"/>
          <w:b/>
          <w:sz w:val="20"/>
          <w:szCs w:val="20"/>
        </w:rPr>
        <w:t>Segmental analysis</w:t>
      </w:r>
      <w:r w:rsidRPr="00694326">
        <w:rPr>
          <w:rFonts w:ascii="Arial" w:hAnsi="Arial" w:cs="Arial"/>
          <w:b/>
          <w:i/>
          <w:sz w:val="20"/>
          <w:szCs w:val="20"/>
        </w:rPr>
        <w:t xml:space="preserve"> (continued)</w:t>
      </w:r>
    </w:p>
    <w:p w:rsidR="00694326" w:rsidRDefault="00694326" w:rsidP="00191DA8">
      <w:pPr>
        <w:spacing w:after="0" w:line="240" w:lineRule="auto"/>
        <w:jc w:val="both"/>
        <w:rPr>
          <w:rFonts w:ascii="Arial" w:hAnsi="Arial" w:cs="Arial"/>
          <w:sz w:val="20"/>
          <w:szCs w:val="20"/>
        </w:rPr>
      </w:pPr>
    </w:p>
    <w:p w:rsidR="00694326" w:rsidRPr="007B4511" w:rsidRDefault="00694326" w:rsidP="00191DA8">
      <w:pPr>
        <w:spacing w:after="0" w:line="240" w:lineRule="auto"/>
        <w:jc w:val="both"/>
        <w:rPr>
          <w:rFonts w:ascii="Arial" w:hAnsi="Arial" w:cs="Arial"/>
          <w:b/>
          <w:sz w:val="20"/>
          <w:szCs w:val="20"/>
        </w:rPr>
      </w:pPr>
    </w:p>
    <w:tbl>
      <w:tblPr>
        <w:tblW w:w="10740" w:type="dxa"/>
        <w:tblLayout w:type="fixed"/>
        <w:tblLook w:val="04A0" w:firstRow="1" w:lastRow="0" w:firstColumn="1" w:lastColumn="0" w:noHBand="0" w:noVBand="1"/>
      </w:tblPr>
      <w:tblGrid>
        <w:gridCol w:w="3400"/>
        <w:gridCol w:w="1468"/>
        <w:gridCol w:w="1468"/>
        <w:gridCol w:w="1468"/>
        <w:gridCol w:w="1468"/>
        <w:gridCol w:w="1468"/>
      </w:tblGrid>
      <w:tr w:rsidR="007B4511" w:rsidRPr="003B1452" w:rsidTr="00191DA8">
        <w:trPr>
          <w:trHeight w:val="58"/>
        </w:trPr>
        <w:tc>
          <w:tcPr>
            <w:tcW w:w="3400" w:type="dxa"/>
            <w:tcBorders>
              <w:top w:val="nil"/>
              <w:left w:val="nil"/>
              <w:bottom w:val="nil"/>
              <w:right w:val="nil"/>
            </w:tcBorders>
            <w:shd w:val="clear" w:color="auto" w:fill="auto"/>
            <w:noWrap/>
            <w:vAlign w:val="bottom"/>
          </w:tcPr>
          <w:p w:rsidR="007B4511" w:rsidRPr="003B1452" w:rsidRDefault="007B4511" w:rsidP="007B4511">
            <w:pPr>
              <w:spacing w:after="0" w:line="240" w:lineRule="auto"/>
              <w:rPr>
                <w:rFonts w:ascii="Arial" w:eastAsia="Times New Roman" w:hAnsi="Arial" w:cs="Arial"/>
                <w:sz w:val="20"/>
                <w:szCs w:val="20"/>
                <w:lang w:eastAsia="en-GB"/>
              </w:rPr>
            </w:pPr>
          </w:p>
        </w:tc>
        <w:tc>
          <w:tcPr>
            <w:tcW w:w="7340" w:type="dxa"/>
            <w:gridSpan w:val="5"/>
            <w:tcBorders>
              <w:top w:val="nil"/>
              <w:left w:val="nil"/>
              <w:bottom w:val="nil"/>
              <w:right w:val="nil"/>
            </w:tcBorders>
            <w:shd w:val="clear" w:color="auto" w:fill="auto"/>
            <w:noWrap/>
            <w:vAlign w:val="bottom"/>
          </w:tcPr>
          <w:p w:rsidR="007B4511" w:rsidRPr="003B1452" w:rsidRDefault="007B4511" w:rsidP="007B451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2013</w:t>
            </w:r>
          </w:p>
        </w:tc>
      </w:tr>
      <w:tr w:rsidR="00BF2426" w:rsidRPr="003B1452" w:rsidTr="00191DA8">
        <w:trPr>
          <w:trHeight w:val="58"/>
        </w:trPr>
        <w:tc>
          <w:tcPr>
            <w:tcW w:w="3400" w:type="dxa"/>
            <w:tcBorders>
              <w:top w:val="nil"/>
              <w:left w:val="nil"/>
              <w:bottom w:val="nil"/>
              <w:right w:val="nil"/>
            </w:tcBorders>
            <w:shd w:val="clear" w:color="auto" w:fill="auto"/>
            <w:noWrap/>
            <w:vAlign w:val="bottom"/>
          </w:tcPr>
          <w:p w:rsidR="00BF2426" w:rsidRPr="003B1452" w:rsidRDefault="00BF2426" w:rsidP="007B4511">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General</w:t>
            </w: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Ferry</w:t>
            </w: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Art logistics</w:t>
            </w:r>
          </w:p>
        </w:tc>
        <w:tc>
          <w:tcPr>
            <w:tcW w:w="1468" w:type="dxa"/>
            <w:tcBorders>
              <w:top w:val="nil"/>
              <w:left w:val="nil"/>
              <w:bottom w:val="nil"/>
              <w:right w:val="nil"/>
            </w:tcBorders>
          </w:tcPr>
          <w:p w:rsidR="00BF2426" w:rsidRPr="003B1452" w:rsidRDefault="00BF2426"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p>
        </w:tc>
      </w:tr>
      <w:tr w:rsidR="00BF2426" w:rsidRPr="003B1452" w:rsidTr="00191DA8">
        <w:trPr>
          <w:trHeight w:val="58"/>
        </w:trPr>
        <w:tc>
          <w:tcPr>
            <w:tcW w:w="3400" w:type="dxa"/>
            <w:tcBorders>
              <w:top w:val="nil"/>
              <w:left w:val="nil"/>
              <w:bottom w:val="nil"/>
              <w:right w:val="nil"/>
            </w:tcBorders>
            <w:shd w:val="clear" w:color="auto" w:fill="auto"/>
            <w:noWrap/>
            <w:vAlign w:val="bottom"/>
          </w:tcPr>
          <w:p w:rsidR="00BF2426" w:rsidRPr="003B1452" w:rsidRDefault="00BF2426" w:rsidP="007B4511">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trading</w:t>
            </w: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Services</w:t>
            </w: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and storage</w:t>
            </w:r>
          </w:p>
        </w:tc>
        <w:tc>
          <w:tcPr>
            <w:tcW w:w="1468" w:type="dxa"/>
            <w:tcBorders>
              <w:top w:val="nil"/>
              <w:left w:val="nil"/>
              <w:bottom w:val="nil"/>
              <w:right w:val="nil"/>
            </w:tcBorders>
          </w:tcPr>
          <w:p w:rsidR="00BF2426" w:rsidRPr="003B1452" w:rsidRDefault="00BF2426"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p>
        </w:tc>
      </w:tr>
      <w:tr w:rsidR="00BF2426" w:rsidRPr="003B1452" w:rsidTr="00191DA8">
        <w:trPr>
          <w:trHeight w:val="58"/>
        </w:trPr>
        <w:tc>
          <w:tcPr>
            <w:tcW w:w="3400" w:type="dxa"/>
            <w:tcBorders>
              <w:top w:val="nil"/>
              <w:left w:val="nil"/>
              <w:bottom w:val="nil"/>
              <w:right w:val="nil"/>
            </w:tcBorders>
            <w:shd w:val="clear" w:color="auto" w:fill="auto"/>
            <w:noWrap/>
            <w:vAlign w:val="bottom"/>
          </w:tcPr>
          <w:p w:rsidR="00BF2426" w:rsidRPr="003B1452" w:rsidRDefault="00BF2426" w:rsidP="007B4511">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(Falklands)</w:t>
            </w: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(Portsmouth)</w:t>
            </w: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(UK)</w:t>
            </w:r>
          </w:p>
        </w:tc>
        <w:tc>
          <w:tcPr>
            <w:tcW w:w="1468" w:type="dxa"/>
            <w:tcBorders>
              <w:top w:val="nil"/>
              <w:left w:val="nil"/>
              <w:bottom w:val="nil"/>
              <w:right w:val="nil"/>
            </w:tcBorders>
          </w:tcPr>
          <w:p w:rsidR="00BF2426" w:rsidRPr="003B1452" w:rsidRDefault="00BF2426"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Unallocated</w:t>
            </w: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Total</w:t>
            </w:r>
          </w:p>
        </w:tc>
      </w:tr>
      <w:tr w:rsidR="00BF2426" w:rsidRPr="003B1452" w:rsidTr="00191DA8">
        <w:trPr>
          <w:trHeight w:val="58"/>
        </w:trPr>
        <w:tc>
          <w:tcPr>
            <w:tcW w:w="3400" w:type="dxa"/>
            <w:tcBorders>
              <w:top w:val="nil"/>
              <w:left w:val="nil"/>
              <w:bottom w:val="nil"/>
              <w:right w:val="nil"/>
            </w:tcBorders>
            <w:shd w:val="clear" w:color="auto" w:fill="auto"/>
            <w:noWrap/>
            <w:vAlign w:val="bottom"/>
          </w:tcPr>
          <w:p w:rsidR="00BF2426" w:rsidRPr="003B1452" w:rsidRDefault="00BF2426" w:rsidP="007B4511">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£'000</w:t>
            </w: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£'000</w:t>
            </w: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£'000</w:t>
            </w:r>
          </w:p>
        </w:tc>
        <w:tc>
          <w:tcPr>
            <w:tcW w:w="1468" w:type="dxa"/>
            <w:tcBorders>
              <w:top w:val="nil"/>
              <w:left w:val="nil"/>
              <w:bottom w:val="nil"/>
              <w:right w:val="nil"/>
            </w:tcBorders>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£'000</w:t>
            </w: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r w:rsidRPr="003B1452">
              <w:rPr>
                <w:rFonts w:ascii="Arial" w:eastAsia="Times New Roman" w:hAnsi="Arial" w:cs="Arial"/>
                <w:sz w:val="20"/>
                <w:szCs w:val="20"/>
                <w:lang w:eastAsia="en-GB"/>
              </w:rPr>
              <w:t>£'000</w:t>
            </w:r>
          </w:p>
        </w:tc>
      </w:tr>
      <w:tr w:rsidR="00BF2426" w:rsidRPr="003B1452" w:rsidTr="00191DA8">
        <w:trPr>
          <w:trHeight w:val="58"/>
        </w:trPr>
        <w:tc>
          <w:tcPr>
            <w:tcW w:w="3400" w:type="dxa"/>
            <w:tcBorders>
              <w:top w:val="nil"/>
              <w:left w:val="nil"/>
              <w:bottom w:val="nil"/>
              <w:right w:val="nil"/>
            </w:tcBorders>
            <w:shd w:val="clear" w:color="auto" w:fill="auto"/>
            <w:noWrap/>
            <w:vAlign w:val="bottom"/>
          </w:tcPr>
          <w:p w:rsidR="00BF2426" w:rsidRPr="003B1452" w:rsidRDefault="00BF2426" w:rsidP="007B4511">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tcPr>
          <w:p w:rsidR="00BF2426" w:rsidRPr="003B1452" w:rsidRDefault="00BF2426"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BF2426" w:rsidRPr="003B1452" w:rsidRDefault="00BF2426" w:rsidP="007B4511">
            <w:pPr>
              <w:spacing w:after="0" w:line="240" w:lineRule="auto"/>
              <w:jc w:val="right"/>
              <w:rPr>
                <w:rFonts w:ascii="Arial" w:eastAsia="Times New Roman" w:hAnsi="Arial" w:cs="Arial"/>
                <w:sz w:val="20"/>
                <w:szCs w:val="20"/>
                <w:lang w:eastAsia="en-GB"/>
              </w:rPr>
            </w:pPr>
          </w:p>
        </w:tc>
      </w:tr>
      <w:tr w:rsidR="007B4511" w:rsidRPr="003B1452" w:rsidTr="00191DA8">
        <w:trPr>
          <w:trHeight w:val="58"/>
        </w:trPr>
        <w:tc>
          <w:tcPr>
            <w:tcW w:w="3400" w:type="dxa"/>
            <w:tcBorders>
              <w:top w:val="nil"/>
              <w:left w:val="nil"/>
              <w:bottom w:val="single" w:sz="4" w:space="0" w:color="auto"/>
              <w:right w:val="nil"/>
            </w:tcBorders>
            <w:shd w:val="clear" w:color="auto" w:fill="auto"/>
            <w:noWrap/>
            <w:vAlign w:val="bottom"/>
          </w:tcPr>
          <w:p w:rsidR="007B4511" w:rsidRPr="003B1452" w:rsidRDefault="007B4511" w:rsidP="007B4511">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Revenue</w:t>
            </w:r>
          </w:p>
        </w:tc>
        <w:tc>
          <w:tcPr>
            <w:tcW w:w="1468" w:type="dxa"/>
            <w:tcBorders>
              <w:top w:val="nil"/>
              <w:left w:val="nil"/>
              <w:bottom w:val="single" w:sz="4" w:space="0" w:color="auto"/>
              <w:right w:val="nil"/>
            </w:tcBorders>
            <w:shd w:val="clear" w:color="auto" w:fill="auto"/>
            <w:noWrap/>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15,222</w:t>
            </w:r>
          </w:p>
        </w:tc>
        <w:tc>
          <w:tcPr>
            <w:tcW w:w="1468" w:type="dxa"/>
            <w:tcBorders>
              <w:top w:val="nil"/>
              <w:left w:val="nil"/>
              <w:bottom w:val="single" w:sz="4" w:space="0" w:color="auto"/>
              <w:right w:val="nil"/>
            </w:tcBorders>
            <w:shd w:val="clear" w:color="auto" w:fill="auto"/>
            <w:noWrap/>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4,076</w:t>
            </w:r>
          </w:p>
        </w:tc>
        <w:tc>
          <w:tcPr>
            <w:tcW w:w="1468" w:type="dxa"/>
            <w:tcBorders>
              <w:top w:val="nil"/>
              <w:left w:val="nil"/>
              <w:bottom w:val="single" w:sz="4" w:space="0" w:color="auto"/>
              <w:right w:val="nil"/>
            </w:tcBorders>
            <w:shd w:val="clear" w:color="auto" w:fill="auto"/>
            <w:noWrap/>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16,298</w:t>
            </w:r>
          </w:p>
        </w:tc>
        <w:tc>
          <w:tcPr>
            <w:tcW w:w="1468" w:type="dxa"/>
            <w:tcBorders>
              <w:top w:val="nil"/>
              <w:left w:val="nil"/>
              <w:bottom w:val="single" w:sz="4" w:space="0" w:color="auto"/>
              <w:right w:val="nil"/>
            </w:tcBorders>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top w:val="nil"/>
              <w:left w:val="nil"/>
              <w:bottom w:val="single" w:sz="4" w:space="0" w:color="auto"/>
              <w:right w:val="nil"/>
            </w:tcBorders>
            <w:shd w:val="clear" w:color="auto" w:fill="auto"/>
            <w:noWrap/>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35,596</w:t>
            </w:r>
          </w:p>
        </w:tc>
      </w:tr>
      <w:tr w:rsidR="007B4511" w:rsidRPr="003B1452" w:rsidTr="00191DA8">
        <w:trPr>
          <w:trHeight w:val="58"/>
        </w:trPr>
        <w:tc>
          <w:tcPr>
            <w:tcW w:w="3400" w:type="dxa"/>
            <w:tcBorders>
              <w:top w:val="nil"/>
              <w:left w:val="nil"/>
              <w:right w:val="nil"/>
            </w:tcBorders>
            <w:shd w:val="clear" w:color="auto" w:fill="auto"/>
            <w:noWrap/>
            <w:vAlign w:val="bottom"/>
          </w:tcPr>
          <w:p w:rsidR="007B4511" w:rsidRPr="003B1452" w:rsidRDefault="007B4511" w:rsidP="007B4511">
            <w:pPr>
              <w:spacing w:after="0" w:line="240" w:lineRule="auto"/>
              <w:rPr>
                <w:rFonts w:ascii="Arial" w:eastAsia="Times New Roman" w:hAnsi="Arial" w:cs="Arial"/>
                <w:sz w:val="20"/>
                <w:szCs w:val="20"/>
                <w:lang w:eastAsia="en-GB"/>
              </w:rPr>
            </w:pPr>
          </w:p>
        </w:tc>
        <w:tc>
          <w:tcPr>
            <w:tcW w:w="1468" w:type="dxa"/>
            <w:tcBorders>
              <w:top w:val="nil"/>
              <w:left w:val="nil"/>
              <w:right w:val="nil"/>
            </w:tcBorders>
            <w:shd w:val="clear" w:color="auto" w:fill="auto"/>
            <w:noWrap/>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p>
        </w:tc>
        <w:tc>
          <w:tcPr>
            <w:tcW w:w="1468" w:type="dxa"/>
            <w:tcBorders>
              <w:top w:val="nil"/>
              <w:left w:val="nil"/>
              <w:right w:val="nil"/>
            </w:tcBorders>
            <w:shd w:val="clear" w:color="auto" w:fill="auto"/>
            <w:noWrap/>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p>
        </w:tc>
        <w:tc>
          <w:tcPr>
            <w:tcW w:w="1468" w:type="dxa"/>
            <w:tcBorders>
              <w:top w:val="nil"/>
              <w:left w:val="nil"/>
              <w:right w:val="nil"/>
            </w:tcBorders>
            <w:shd w:val="clear" w:color="auto" w:fill="auto"/>
            <w:noWrap/>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p>
        </w:tc>
        <w:tc>
          <w:tcPr>
            <w:tcW w:w="1468" w:type="dxa"/>
            <w:tcBorders>
              <w:top w:val="nil"/>
              <w:left w:val="nil"/>
              <w:right w:val="nil"/>
            </w:tcBorders>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right w:val="nil"/>
            </w:tcBorders>
            <w:shd w:val="clear" w:color="auto" w:fill="auto"/>
            <w:noWrap/>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p>
        </w:tc>
      </w:tr>
      <w:tr w:rsidR="007B4511" w:rsidRPr="003B1452" w:rsidTr="00191DA8">
        <w:trPr>
          <w:trHeight w:val="58"/>
        </w:trPr>
        <w:tc>
          <w:tcPr>
            <w:tcW w:w="3400" w:type="dxa"/>
            <w:tcBorders>
              <w:right w:val="nil"/>
            </w:tcBorders>
            <w:shd w:val="clear" w:color="auto" w:fill="auto"/>
            <w:noWrap/>
            <w:vAlign w:val="bottom"/>
          </w:tcPr>
          <w:p w:rsidR="007B4511" w:rsidRPr="003B1452" w:rsidRDefault="007B4511" w:rsidP="007B4511">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Segment operating profit before tax, amortisation &amp; non-trading items</w:t>
            </w:r>
          </w:p>
        </w:tc>
        <w:tc>
          <w:tcPr>
            <w:tcW w:w="1468" w:type="dxa"/>
            <w:tcBorders>
              <w:left w:val="nil"/>
              <w:right w:val="nil"/>
            </w:tcBorders>
            <w:shd w:val="clear" w:color="auto" w:fill="auto"/>
            <w:noWrap/>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1,325</w:t>
            </w:r>
          </w:p>
        </w:tc>
        <w:tc>
          <w:tcPr>
            <w:tcW w:w="1468" w:type="dxa"/>
            <w:tcBorders>
              <w:left w:val="nil"/>
              <w:right w:val="nil"/>
            </w:tcBorders>
            <w:shd w:val="clear" w:color="auto" w:fill="auto"/>
            <w:noWrap/>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984</w:t>
            </w:r>
          </w:p>
        </w:tc>
        <w:tc>
          <w:tcPr>
            <w:tcW w:w="1468" w:type="dxa"/>
            <w:tcBorders>
              <w:left w:val="nil"/>
              <w:right w:val="nil"/>
            </w:tcBorders>
            <w:shd w:val="clear" w:color="auto" w:fill="auto"/>
            <w:noWrap/>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1,193</w:t>
            </w:r>
          </w:p>
        </w:tc>
        <w:tc>
          <w:tcPr>
            <w:tcW w:w="1468" w:type="dxa"/>
            <w:tcBorders>
              <w:left w:val="nil"/>
              <w:right w:val="nil"/>
            </w:tcBorders>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left w:val="nil"/>
            </w:tcBorders>
            <w:shd w:val="clear" w:color="auto" w:fill="auto"/>
            <w:noWrap/>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3,502</w:t>
            </w:r>
          </w:p>
        </w:tc>
      </w:tr>
      <w:tr w:rsidR="00EC7B49" w:rsidRPr="003B1452" w:rsidTr="00191DA8">
        <w:trPr>
          <w:trHeight w:val="58"/>
        </w:trPr>
        <w:tc>
          <w:tcPr>
            <w:tcW w:w="3400" w:type="dxa"/>
            <w:tcBorders>
              <w:right w:val="nil"/>
            </w:tcBorders>
            <w:shd w:val="clear" w:color="auto" w:fill="auto"/>
            <w:noWrap/>
            <w:vAlign w:val="bottom"/>
          </w:tcPr>
          <w:p w:rsidR="00EC7B49" w:rsidRPr="00BF2426" w:rsidRDefault="00EC7B49" w:rsidP="00BF2426">
            <w:pPr>
              <w:spacing w:after="0" w:line="240" w:lineRule="auto"/>
              <w:rPr>
                <w:rFonts w:ascii="Arial" w:eastAsia="Times New Roman" w:hAnsi="Arial" w:cs="Arial"/>
                <w:sz w:val="20"/>
                <w:szCs w:val="20"/>
                <w:lang w:eastAsia="en-GB"/>
              </w:rPr>
            </w:pPr>
            <w:r w:rsidRPr="00BF2426">
              <w:rPr>
                <w:rFonts w:ascii="Arial" w:eastAsia="Times New Roman" w:hAnsi="Arial" w:cs="Arial"/>
                <w:sz w:val="20"/>
                <w:szCs w:val="20"/>
                <w:lang w:eastAsia="en-GB"/>
              </w:rPr>
              <w:t>Fund raising costs</w:t>
            </w:r>
          </w:p>
        </w:tc>
        <w:tc>
          <w:tcPr>
            <w:tcW w:w="1468" w:type="dxa"/>
            <w:tcBorders>
              <w:left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left w:val="nil"/>
              <w:right w:val="nil"/>
            </w:tcBorders>
            <w:shd w:val="clear" w:color="auto" w:fill="auto"/>
            <w:noWrap/>
            <w:vAlign w:val="bottom"/>
          </w:tcPr>
          <w:p w:rsidR="00EC7B49" w:rsidRPr="007B4511" w:rsidRDefault="00EC7B49" w:rsidP="0083799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left w:val="nil"/>
              <w:right w:val="nil"/>
            </w:tcBorders>
            <w:shd w:val="clear" w:color="auto" w:fill="auto"/>
            <w:noWrap/>
            <w:vAlign w:val="bottom"/>
          </w:tcPr>
          <w:p w:rsidR="00EC7B49" w:rsidRPr="007B4511" w:rsidRDefault="00EC7B49" w:rsidP="0083799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left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(682)</w:t>
            </w:r>
          </w:p>
        </w:tc>
        <w:tc>
          <w:tcPr>
            <w:tcW w:w="1468" w:type="dxa"/>
            <w:tcBorders>
              <w:lef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(682)</w:t>
            </w:r>
          </w:p>
        </w:tc>
      </w:tr>
      <w:tr w:rsidR="00EC7B49" w:rsidRPr="003B1452" w:rsidTr="00191DA8">
        <w:trPr>
          <w:trHeight w:val="58"/>
        </w:trPr>
        <w:tc>
          <w:tcPr>
            <w:tcW w:w="3400" w:type="dxa"/>
            <w:tcBorders>
              <w:right w:val="nil"/>
            </w:tcBorders>
            <w:shd w:val="clear" w:color="auto" w:fill="auto"/>
            <w:noWrap/>
            <w:vAlign w:val="bottom"/>
          </w:tcPr>
          <w:p w:rsidR="00EC7B49" w:rsidRPr="00BF2426" w:rsidRDefault="00EC7B49" w:rsidP="00BF2426">
            <w:pPr>
              <w:spacing w:after="0" w:line="240" w:lineRule="auto"/>
              <w:rPr>
                <w:rFonts w:ascii="Arial" w:eastAsia="Times New Roman" w:hAnsi="Arial" w:cs="Arial"/>
                <w:sz w:val="20"/>
                <w:szCs w:val="20"/>
                <w:lang w:eastAsia="en-GB"/>
              </w:rPr>
            </w:pPr>
            <w:r w:rsidRPr="00BF2426">
              <w:rPr>
                <w:rFonts w:ascii="Arial" w:eastAsia="Times New Roman" w:hAnsi="Arial" w:cs="Arial"/>
                <w:sz w:val="20"/>
                <w:szCs w:val="20"/>
                <w:lang w:eastAsia="en-GB"/>
              </w:rPr>
              <w:t>Gain on sale of 1.175 million FOGL shares</w:t>
            </w:r>
          </w:p>
        </w:tc>
        <w:tc>
          <w:tcPr>
            <w:tcW w:w="1468" w:type="dxa"/>
            <w:tcBorders>
              <w:left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left w:val="nil"/>
              <w:right w:val="nil"/>
            </w:tcBorders>
            <w:shd w:val="clear" w:color="auto" w:fill="auto"/>
            <w:noWrap/>
            <w:vAlign w:val="bottom"/>
          </w:tcPr>
          <w:p w:rsidR="00EC7B49" w:rsidRPr="007B4511" w:rsidRDefault="00EC7B49" w:rsidP="0083799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left w:val="nil"/>
              <w:right w:val="nil"/>
            </w:tcBorders>
            <w:shd w:val="clear" w:color="auto" w:fill="auto"/>
            <w:noWrap/>
            <w:vAlign w:val="bottom"/>
          </w:tcPr>
          <w:p w:rsidR="00EC7B49" w:rsidRPr="007B4511" w:rsidRDefault="00EC7B49" w:rsidP="0083799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left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768</w:t>
            </w:r>
          </w:p>
        </w:tc>
        <w:tc>
          <w:tcPr>
            <w:tcW w:w="1468" w:type="dxa"/>
            <w:tcBorders>
              <w:lef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768</w:t>
            </w:r>
          </w:p>
        </w:tc>
      </w:tr>
      <w:tr w:rsidR="00EC7B49" w:rsidRPr="003B1452" w:rsidTr="00191DA8">
        <w:trPr>
          <w:trHeight w:val="58"/>
        </w:trPr>
        <w:tc>
          <w:tcPr>
            <w:tcW w:w="3400" w:type="dxa"/>
            <w:tcBorders>
              <w:right w:val="nil"/>
            </w:tcBorders>
            <w:shd w:val="clear" w:color="auto" w:fill="auto"/>
            <w:noWrap/>
            <w:vAlign w:val="bottom"/>
          </w:tcPr>
          <w:p w:rsidR="00EC7B49" w:rsidRPr="00BF2426" w:rsidRDefault="00EC7B49" w:rsidP="00BF2426">
            <w:pPr>
              <w:spacing w:after="0" w:line="240" w:lineRule="auto"/>
              <w:rPr>
                <w:rFonts w:ascii="Arial" w:eastAsia="Times New Roman" w:hAnsi="Arial" w:cs="Arial"/>
                <w:sz w:val="20"/>
                <w:szCs w:val="20"/>
                <w:lang w:eastAsia="en-GB"/>
              </w:rPr>
            </w:pPr>
            <w:r w:rsidRPr="00BF2426">
              <w:rPr>
                <w:rFonts w:ascii="Arial" w:eastAsia="Times New Roman" w:hAnsi="Arial" w:cs="Arial"/>
                <w:sz w:val="20"/>
                <w:szCs w:val="20"/>
                <w:lang w:eastAsia="en-GB"/>
              </w:rPr>
              <w:t xml:space="preserve">Net settlement loss on the </w:t>
            </w:r>
            <w:r>
              <w:rPr>
                <w:rFonts w:ascii="Arial" w:eastAsia="Times New Roman" w:hAnsi="Arial" w:cs="Arial"/>
                <w:sz w:val="20"/>
                <w:szCs w:val="20"/>
                <w:lang w:eastAsia="en-GB"/>
              </w:rPr>
              <w:t xml:space="preserve">transfer of the </w:t>
            </w:r>
            <w:r w:rsidRPr="00BF2426">
              <w:rPr>
                <w:rFonts w:ascii="Arial" w:eastAsia="Times New Roman" w:hAnsi="Arial" w:cs="Arial"/>
                <w:sz w:val="20"/>
                <w:szCs w:val="20"/>
                <w:lang w:eastAsia="en-GB"/>
              </w:rPr>
              <w:t>PHFC pension scheme</w:t>
            </w:r>
          </w:p>
        </w:tc>
        <w:tc>
          <w:tcPr>
            <w:tcW w:w="1468" w:type="dxa"/>
            <w:tcBorders>
              <w:left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left w:val="nil"/>
              <w:right w:val="nil"/>
            </w:tcBorders>
            <w:shd w:val="clear" w:color="auto" w:fill="auto"/>
            <w:noWrap/>
            <w:vAlign w:val="bottom"/>
          </w:tcPr>
          <w:p w:rsidR="00EC7B49" w:rsidRPr="007B4511" w:rsidRDefault="00EC7B49" w:rsidP="0083799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left w:val="nil"/>
              <w:right w:val="nil"/>
            </w:tcBorders>
            <w:shd w:val="clear" w:color="auto" w:fill="auto"/>
            <w:noWrap/>
            <w:vAlign w:val="bottom"/>
          </w:tcPr>
          <w:p w:rsidR="00EC7B49" w:rsidRPr="007B4511" w:rsidRDefault="00EC7B49" w:rsidP="0083799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left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(182)</w:t>
            </w:r>
          </w:p>
        </w:tc>
        <w:tc>
          <w:tcPr>
            <w:tcW w:w="1468" w:type="dxa"/>
            <w:tcBorders>
              <w:lef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(182)</w:t>
            </w:r>
          </w:p>
        </w:tc>
      </w:tr>
      <w:tr w:rsidR="00EC7B49" w:rsidRPr="003B1452" w:rsidTr="00191DA8">
        <w:trPr>
          <w:trHeight w:val="150"/>
        </w:trPr>
        <w:tc>
          <w:tcPr>
            <w:tcW w:w="3400" w:type="dxa"/>
            <w:tcBorders>
              <w:bottom w:val="single" w:sz="4" w:space="0" w:color="auto"/>
              <w:right w:val="nil"/>
            </w:tcBorders>
            <w:shd w:val="clear" w:color="auto" w:fill="auto"/>
            <w:noWrap/>
            <w:vAlign w:val="bottom"/>
          </w:tcPr>
          <w:p w:rsidR="00EC7B49" w:rsidRDefault="00EC7B49">
            <w:pPr>
              <w:rPr>
                <w:rFonts w:ascii="Arial" w:hAnsi="Arial" w:cs="Arial"/>
                <w:sz w:val="32"/>
                <w:szCs w:val="32"/>
              </w:rPr>
            </w:pPr>
            <w:r>
              <w:rPr>
                <w:rFonts w:ascii="Arial" w:eastAsia="Times New Roman" w:hAnsi="Arial" w:cs="Arial"/>
                <w:sz w:val="20"/>
                <w:szCs w:val="20"/>
                <w:lang w:eastAsia="en-GB"/>
              </w:rPr>
              <w:t>Am</w:t>
            </w:r>
            <w:r w:rsidRPr="00BF2426">
              <w:rPr>
                <w:rFonts w:ascii="Arial" w:eastAsia="Times New Roman" w:hAnsi="Arial" w:cs="Arial"/>
                <w:sz w:val="20"/>
                <w:szCs w:val="20"/>
                <w:lang w:eastAsia="en-GB"/>
              </w:rPr>
              <w:t>ortisation</w:t>
            </w:r>
          </w:p>
        </w:tc>
        <w:tc>
          <w:tcPr>
            <w:tcW w:w="1468" w:type="dxa"/>
            <w:tcBorders>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(398)</w:t>
            </w:r>
          </w:p>
        </w:tc>
        <w:tc>
          <w:tcPr>
            <w:tcW w:w="1468" w:type="dxa"/>
            <w:tcBorders>
              <w:left w:val="nil"/>
              <w:bottom w:val="single" w:sz="4" w:space="0" w:color="auto"/>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left w:val="nil"/>
              <w:bottom w:val="single" w:sz="4" w:space="0" w:color="auto"/>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(398)</w:t>
            </w:r>
          </w:p>
        </w:tc>
      </w:tr>
      <w:tr w:rsidR="00EC7B49" w:rsidRPr="003B1452" w:rsidTr="00191DA8">
        <w:trPr>
          <w:trHeight w:val="58"/>
        </w:trPr>
        <w:tc>
          <w:tcPr>
            <w:tcW w:w="3400" w:type="dxa"/>
            <w:tcBorders>
              <w:top w:val="single" w:sz="4" w:space="0" w:color="auto"/>
              <w:left w:val="nil"/>
              <w:bottom w:val="nil"/>
              <w:right w:val="nil"/>
            </w:tcBorders>
            <w:shd w:val="clear" w:color="auto" w:fill="auto"/>
            <w:noWrap/>
            <w:vAlign w:val="bottom"/>
          </w:tcPr>
          <w:p w:rsidR="00EC7B49" w:rsidRPr="00D620F9" w:rsidRDefault="00EC7B49" w:rsidP="007B4511">
            <w:pPr>
              <w:spacing w:after="0" w:line="240" w:lineRule="auto"/>
              <w:rPr>
                <w:rFonts w:ascii="Arial" w:eastAsia="Times New Roman" w:hAnsi="Arial" w:cs="Arial"/>
                <w:b/>
                <w:sz w:val="20"/>
                <w:szCs w:val="20"/>
                <w:lang w:eastAsia="en-GB"/>
              </w:rPr>
            </w:pPr>
            <w:r w:rsidRPr="00D620F9">
              <w:rPr>
                <w:rFonts w:ascii="Arial" w:eastAsia="Times New Roman" w:hAnsi="Arial" w:cs="Arial"/>
                <w:b/>
                <w:sz w:val="20"/>
                <w:szCs w:val="20"/>
                <w:lang w:eastAsia="en-GB"/>
              </w:rPr>
              <w:t>Segment operating profit</w:t>
            </w:r>
          </w:p>
        </w:tc>
        <w:tc>
          <w:tcPr>
            <w:tcW w:w="1468" w:type="dxa"/>
            <w:tcBorders>
              <w:top w:val="single" w:sz="4" w:space="0" w:color="auto"/>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b/>
                <w:sz w:val="20"/>
                <w:szCs w:val="20"/>
                <w:lang w:eastAsia="en-GB"/>
              </w:rPr>
            </w:pPr>
            <w:r w:rsidRPr="007B4511">
              <w:rPr>
                <w:rFonts w:ascii="Arial" w:eastAsia="Times New Roman" w:hAnsi="Arial" w:cs="Arial"/>
                <w:b/>
                <w:sz w:val="20"/>
                <w:szCs w:val="20"/>
                <w:lang w:eastAsia="en-GB"/>
              </w:rPr>
              <w:t>1,325</w:t>
            </w:r>
          </w:p>
        </w:tc>
        <w:tc>
          <w:tcPr>
            <w:tcW w:w="1468" w:type="dxa"/>
            <w:tcBorders>
              <w:top w:val="single" w:sz="4" w:space="0" w:color="auto"/>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b/>
                <w:sz w:val="20"/>
                <w:szCs w:val="20"/>
                <w:lang w:eastAsia="en-GB"/>
              </w:rPr>
            </w:pPr>
            <w:r w:rsidRPr="007B4511">
              <w:rPr>
                <w:rFonts w:ascii="Arial" w:eastAsia="Times New Roman" w:hAnsi="Arial" w:cs="Arial"/>
                <w:b/>
                <w:sz w:val="20"/>
                <w:szCs w:val="20"/>
                <w:lang w:eastAsia="en-GB"/>
              </w:rPr>
              <w:t>984</w:t>
            </w:r>
          </w:p>
        </w:tc>
        <w:tc>
          <w:tcPr>
            <w:tcW w:w="1468" w:type="dxa"/>
            <w:tcBorders>
              <w:top w:val="single" w:sz="4" w:space="0" w:color="auto"/>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b/>
                <w:sz w:val="20"/>
                <w:szCs w:val="20"/>
                <w:lang w:eastAsia="en-GB"/>
              </w:rPr>
            </w:pPr>
            <w:r w:rsidRPr="007B4511">
              <w:rPr>
                <w:rFonts w:ascii="Arial" w:eastAsia="Times New Roman" w:hAnsi="Arial" w:cs="Arial"/>
                <w:b/>
                <w:sz w:val="20"/>
                <w:szCs w:val="20"/>
                <w:lang w:eastAsia="en-GB"/>
              </w:rPr>
              <w:t>795</w:t>
            </w:r>
          </w:p>
        </w:tc>
        <w:tc>
          <w:tcPr>
            <w:tcW w:w="1468" w:type="dxa"/>
            <w:tcBorders>
              <w:top w:val="single" w:sz="4" w:space="0" w:color="auto"/>
              <w:left w:val="nil"/>
              <w:bottom w:val="nil"/>
              <w:right w:val="nil"/>
            </w:tcBorders>
            <w:vAlign w:val="bottom"/>
          </w:tcPr>
          <w:p w:rsidR="00EC7B49" w:rsidRPr="007B4511" w:rsidRDefault="00EC7B49" w:rsidP="007B4511">
            <w:pPr>
              <w:spacing w:after="0" w:line="240" w:lineRule="auto"/>
              <w:jc w:val="right"/>
              <w:rPr>
                <w:rFonts w:ascii="Arial" w:eastAsia="Times New Roman" w:hAnsi="Arial" w:cs="Arial"/>
                <w:b/>
                <w:sz w:val="20"/>
                <w:szCs w:val="20"/>
                <w:lang w:eastAsia="en-GB"/>
              </w:rPr>
            </w:pPr>
            <w:r w:rsidRPr="007B4511">
              <w:rPr>
                <w:rFonts w:ascii="Arial" w:eastAsia="Times New Roman" w:hAnsi="Arial" w:cs="Arial"/>
                <w:b/>
                <w:sz w:val="20"/>
                <w:szCs w:val="20"/>
                <w:lang w:eastAsia="en-GB"/>
              </w:rPr>
              <w:t>(96)</w:t>
            </w:r>
          </w:p>
        </w:tc>
        <w:tc>
          <w:tcPr>
            <w:tcW w:w="1468" w:type="dxa"/>
            <w:tcBorders>
              <w:top w:val="single" w:sz="4" w:space="0" w:color="auto"/>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b/>
                <w:sz w:val="20"/>
                <w:szCs w:val="20"/>
                <w:lang w:eastAsia="en-GB"/>
              </w:rPr>
            </w:pPr>
            <w:r w:rsidRPr="007B4511">
              <w:rPr>
                <w:rFonts w:ascii="Arial" w:eastAsia="Times New Roman" w:hAnsi="Arial" w:cs="Arial"/>
                <w:b/>
                <w:sz w:val="20"/>
                <w:szCs w:val="20"/>
                <w:lang w:eastAsia="en-GB"/>
              </w:rPr>
              <w:t>3,008</w:t>
            </w: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Interest income</w:t>
            </w:r>
          </w:p>
        </w:tc>
        <w:tc>
          <w:tcPr>
            <w:tcW w:w="1468" w:type="dxa"/>
            <w:tcBorders>
              <w:top w:val="nil"/>
              <w:left w:val="nil"/>
              <w:bottom w:val="nil"/>
              <w:right w:val="nil"/>
            </w:tcBorders>
            <w:shd w:val="clear" w:color="auto" w:fill="auto"/>
            <w:noWrap/>
            <w:vAlign w:val="bottom"/>
          </w:tcPr>
          <w:p w:rsidR="00EC7B49" w:rsidRPr="007B4511" w:rsidRDefault="00902660"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91</w:t>
            </w:r>
          </w:p>
        </w:tc>
        <w:tc>
          <w:tcPr>
            <w:tcW w:w="1468" w:type="dxa"/>
            <w:tcBorders>
              <w:top w:val="nil"/>
              <w:left w:val="nil"/>
              <w:bottom w:val="nil"/>
              <w:right w:val="nil"/>
            </w:tcBorders>
            <w:shd w:val="clear" w:color="auto" w:fill="auto"/>
            <w:noWrap/>
            <w:vAlign w:val="bottom"/>
          </w:tcPr>
          <w:p w:rsidR="00EC7B49" w:rsidRPr="007B4511" w:rsidRDefault="00902660"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1468" w:type="dxa"/>
            <w:tcBorders>
              <w:top w:val="nil"/>
              <w:left w:val="nil"/>
              <w:bottom w:val="nil"/>
              <w:right w:val="nil"/>
            </w:tcBorders>
            <w:shd w:val="clear" w:color="auto" w:fill="auto"/>
            <w:noWrap/>
            <w:vAlign w:val="bottom"/>
          </w:tcPr>
          <w:p w:rsidR="00EC7B49" w:rsidRPr="007B4511" w:rsidRDefault="00902660"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bottom w:val="nil"/>
              <w:right w:val="nil"/>
            </w:tcBorders>
            <w:vAlign w:val="bottom"/>
          </w:tcPr>
          <w:p w:rsidR="00EC7B49" w:rsidRPr="007B4511" w:rsidRDefault="00902660"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164</w:t>
            </w:r>
          </w:p>
        </w:tc>
        <w:tc>
          <w:tcPr>
            <w:tcW w:w="1468" w:type="dxa"/>
            <w:tcBorders>
              <w:top w:val="nil"/>
              <w:left w:val="nil"/>
              <w:bottom w:val="nil"/>
              <w:right w:val="nil"/>
            </w:tcBorders>
            <w:shd w:val="clear" w:color="auto" w:fill="auto"/>
            <w:noWrap/>
            <w:vAlign w:val="bottom"/>
          </w:tcPr>
          <w:p w:rsidR="00EC7B49" w:rsidRPr="007B4511" w:rsidRDefault="00E71E21"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257</w:t>
            </w: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Interest expense</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(118)</w:t>
            </w:r>
          </w:p>
        </w:tc>
        <w:tc>
          <w:tcPr>
            <w:tcW w:w="1468" w:type="dxa"/>
            <w:tcBorders>
              <w:top w:val="nil"/>
              <w:left w:val="nil"/>
              <w:bottom w:val="nil"/>
              <w:right w:val="nil"/>
            </w:tcBorders>
            <w:shd w:val="clear" w:color="auto" w:fill="auto"/>
            <w:noWrap/>
            <w:vAlign w:val="bottom"/>
          </w:tcPr>
          <w:p w:rsidR="00EC7B49" w:rsidRPr="007B4511" w:rsidRDefault="00ED600C"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(263</w:t>
            </w:r>
            <w:r w:rsidR="00EC7B49" w:rsidRPr="007B4511">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r w:rsidR="00902660">
              <w:rPr>
                <w:rFonts w:ascii="Arial" w:eastAsia="Times New Roman" w:hAnsi="Arial" w:cs="Arial"/>
                <w:sz w:val="20"/>
                <w:szCs w:val="20"/>
                <w:lang w:eastAsia="en-GB"/>
              </w:rPr>
              <w:t>29</w:t>
            </w:r>
            <w:r w:rsidRPr="007B4511">
              <w:rPr>
                <w:rFonts w:ascii="Arial" w:eastAsia="Times New Roman" w:hAnsi="Arial" w:cs="Arial"/>
                <w:sz w:val="20"/>
                <w:szCs w:val="20"/>
                <w:lang w:eastAsia="en-GB"/>
              </w:rPr>
              <w:t>)</w:t>
            </w:r>
          </w:p>
        </w:tc>
        <w:tc>
          <w:tcPr>
            <w:tcW w:w="1468" w:type="dxa"/>
            <w:tcBorders>
              <w:top w:val="nil"/>
              <w:left w:val="nil"/>
              <w:bottom w:val="nil"/>
              <w:right w:val="nil"/>
            </w:tcBorders>
            <w:vAlign w:val="bottom"/>
          </w:tcPr>
          <w:p w:rsidR="00EC7B49" w:rsidRPr="007B4511" w:rsidRDefault="00902660"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(58)</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(4</w:t>
            </w:r>
            <w:r w:rsidR="00E71E21">
              <w:rPr>
                <w:rFonts w:ascii="Arial" w:eastAsia="Times New Roman" w:hAnsi="Arial" w:cs="Arial"/>
                <w:sz w:val="20"/>
                <w:szCs w:val="20"/>
                <w:lang w:eastAsia="en-GB"/>
              </w:rPr>
              <w:t>68</w:t>
            </w:r>
            <w:r w:rsidRPr="007B4511">
              <w:rPr>
                <w:rFonts w:ascii="Arial" w:eastAsia="Times New Roman" w:hAnsi="Arial" w:cs="Arial"/>
                <w:sz w:val="20"/>
                <w:szCs w:val="20"/>
                <w:lang w:eastAsia="en-GB"/>
              </w:rPr>
              <w:t>)</w:t>
            </w:r>
          </w:p>
        </w:tc>
      </w:tr>
      <w:tr w:rsidR="00EC7B49" w:rsidRPr="003B1452" w:rsidTr="00191DA8">
        <w:trPr>
          <w:trHeight w:val="58"/>
        </w:trPr>
        <w:tc>
          <w:tcPr>
            <w:tcW w:w="3400" w:type="dxa"/>
            <w:tcBorders>
              <w:top w:val="nil"/>
              <w:left w:val="nil"/>
              <w:bottom w:val="single" w:sz="4" w:space="0" w:color="auto"/>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p>
        </w:tc>
        <w:tc>
          <w:tcPr>
            <w:tcW w:w="1468" w:type="dxa"/>
            <w:tcBorders>
              <w:top w:val="nil"/>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bottom w:val="single" w:sz="4" w:space="0" w:color="auto"/>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r>
      <w:tr w:rsidR="00EC7B49" w:rsidRPr="003B1452" w:rsidTr="00191DA8">
        <w:trPr>
          <w:trHeight w:val="58"/>
        </w:trPr>
        <w:tc>
          <w:tcPr>
            <w:tcW w:w="3400" w:type="dxa"/>
            <w:tcBorders>
              <w:top w:val="single" w:sz="4" w:space="0" w:color="auto"/>
              <w:left w:val="nil"/>
              <w:bottom w:val="single" w:sz="4" w:space="0" w:color="auto"/>
              <w:right w:val="nil"/>
            </w:tcBorders>
            <w:shd w:val="clear" w:color="auto" w:fill="auto"/>
            <w:noWrap/>
            <w:vAlign w:val="bottom"/>
          </w:tcPr>
          <w:p w:rsidR="00EC7B49" w:rsidRPr="00D620F9" w:rsidRDefault="00EC7B49" w:rsidP="007B4511">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Segment profit before</w:t>
            </w:r>
            <w:r w:rsidRPr="00D620F9">
              <w:rPr>
                <w:rFonts w:ascii="Arial" w:eastAsia="Times New Roman" w:hAnsi="Arial" w:cs="Arial"/>
                <w:b/>
                <w:sz w:val="20"/>
                <w:szCs w:val="20"/>
                <w:lang w:eastAsia="en-GB"/>
              </w:rPr>
              <w:t xml:space="preserve"> tax</w:t>
            </w:r>
          </w:p>
        </w:tc>
        <w:tc>
          <w:tcPr>
            <w:tcW w:w="1468" w:type="dxa"/>
            <w:tcBorders>
              <w:top w:val="single" w:sz="4" w:space="0" w:color="auto"/>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w:t>
            </w:r>
            <w:r w:rsidR="00902660">
              <w:rPr>
                <w:rFonts w:ascii="Arial" w:eastAsia="Times New Roman" w:hAnsi="Arial" w:cs="Arial"/>
                <w:sz w:val="20"/>
                <w:szCs w:val="20"/>
                <w:lang w:eastAsia="en-GB"/>
              </w:rPr>
              <w:t>298</w:t>
            </w:r>
          </w:p>
        </w:tc>
        <w:tc>
          <w:tcPr>
            <w:tcW w:w="1468" w:type="dxa"/>
            <w:tcBorders>
              <w:top w:val="nil"/>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72</w:t>
            </w:r>
            <w:r w:rsidR="00902660">
              <w:rPr>
                <w:rFonts w:ascii="Arial" w:eastAsia="Times New Roman" w:hAnsi="Arial" w:cs="Arial"/>
                <w:sz w:val="20"/>
                <w:szCs w:val="20"/>
                <w:lang w:eastAsia="en-GB"/>
              </w:rPr>
              <w:t>3</w:t>
            </w:r>
          </w:p>
        </w:tc>
        <w:tc>
          <w:tcPr>
            <w:tcW w:w="1468" w:type="dxa"/>
            <w:tcBorders>
              <w:top w:val="nil"/>
              <w:left w:val="nil"/>
              <w:bottom w:val="single" w:sz="4" w:space="0" w:color="auto"/>
              <w:right w:val="nil"/>
            </w:tcBorders>
            <w:shd w:val="clear" w:color="auto" w:fill="auto"/>
            <w:noWrap/>
            <w:vAlign w:val="bottom"/>
          </w:tcPr>
          <w:p w:rsidR="00EC7B49" w:rsidRPr="007B4511" w:rsidRDefault="00902660"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766</w:t>
            </w:r>
          </w:p>
        </w:tc>
        <w:tc>
          <w:tcPr>
            <w:tcW w:w="1468" w:type="dxa"/>
            <w:tcBorders>
              <w:top w:val="nil"/>
              <w:left w:val="nil"/>
              <w:bottom w:val="single" w:sz="4" w:space="0" w:color="auto"/>
              <w:right w:val="nil"/>
            </w:tcBorders>
            <w:vAlign w:val="bottom"/>
          </w:tcPr>
          <w:p w:rsidR="00EC7B49" w:rsidRPr="007B4511" w:rsidRDefault="00902660"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1468" w:type="dxa"/>
            <w:tcBorders>
              <w:top w:val="nil"/>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2,797</w:t>
            </w: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r w:rsidRPr="003B1452">
              <w:rPr>
                <w:rFonts w:ascii="Arial" w:eastAsia="Times New Roman" w:hAnsi="Arial" w:cs="Arial"/>
                <w:i/>
                <w:iCs/>
                <w:sz w:val="20"/>
                <w:szCs w:val="20"/>
                <w:lang w:eastAsia="en-GB"/>
              </w:rPr>
              <w:t>Assets and liabilities</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Segment assets</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15,059</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12,792</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13,532</w:t>
            </w:r>
          </w:p>
        </w:tc>
        <w:tc>
          <w:tcPr>
            <w:tcW w:w="1468" w:type="dxa"/>
            <w:tcBorders>
              <w:top w:val="nil"/>
              <w:left w:val="nil"/>
              <w:bottom w:val="nil"/>
              <w:right w:val="nil"/>
            </w:tcBorders>
            <w:vAlign w:val="bottom"/>
          </w:tcPr>
          <w:p w:rsidR="00EC7B49" w:rsidRPr="00191DA8" w:rsidRDefault="00EC7B49" w:rsidP="007B4511">
            <w:pPr>
              <w:spacing w:after="0" w:line="240" w:lineRule="auto"/>
              <w:jc w:val="right"/>
              <w:rPr>
                <w:rFonts w:ascii="Arial" w:eastAsia="Times New Roman" w:hAnsi="Arial" w:cs="Arial"/>
                <w:sz w:val="20"/>
                <w:szCs w:val="20"/>
                <w:lang w:eastAsia="en-GB"/>
              </w:rPr>
            </w:pPr>
            <w:r w:rsidRPr="00191DA8">
              <w:rPr>
                <w:rFonts w:ascii="Arial" w:eastAsia="Times New Roman" w:hAnsi="Arial" w:cs="Arial"/>
                <w:sz w:val="20"/>
                <w:szCs w:val="20"/>
                <w:lang w:eastAsia="en-GB"/>
              </w:rPr>
              <w:t>14,838</w:t>
            </w:r>
          </w:p>
        </w:tc>
        <w:tc>
          <w:tcPr>
            <w:tcW w:w="1468" w:type="dxa"/>
            <w:tcBorders>
              <w:top w:val="nil"/>
              <w:left w:val="nil"/>
              <w:bottom w:val="nil"/>
              <w:right w:val="nil"/>
            </w:tcBorders>
            <w:shd w:val="clear" w:color="auto" w:fill="auto"/>
            <w:noWrap/>
            <w:vAlign w:val="bottom"/>
          </w:tcPr>
          <w:p w:rsidR="00EC7B49" w:rsidRPr="00191DA8" w:rsidRDefault="00EC7B49" w:rsidP="007B4511">
            <w:pPr>
              <w:spacing w:after="0" w:line="240" w:lineRule="auto"/>
              <w:jc w:val="right"/>
              <w:rPr>
                <w:rFonts w:ascii="Arial" w:eastAsia="Times New Roman" w:hAnsi="Arial" w:cs="Arial"/>
                <w:sz w:val="20"/>
                <w:szCs w:val="20"/>
                <w:lang w:eastAsia="en-GB"/>
              </w:rPr>
            </w:pPr>
            <w:r w:rsidRPr="00191DA8">
              <w:rPr>
                <w:rFonts w:ascii="Arial" w:eastAsia="Times New Roman" w:hAnsi="Arial" w:cs="Arial"/>
                <w:sz w:val="20"/>
                <w:szCs w:val="20"/>
                <w:lang w:eastAsia="en-GB"/>
              </w:rPr>
              <w:t>56,221</w:t>
            </w: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EC7B49" w:rsidRPr="003B1452" w:rsidRDefault="00EC7B49" w:rsidP="00837997">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Segment liabilities</w:t>
            </w:r>
          </w:p>
        </w:tc>
        <w:tc>
          <w:tcPr>
            <w:tcW w:w="1468" w:type="dxa"/>
            <w:tcBorders>
              <w:top w:val="nil"/>
              <w:left w:val="nil"/>
              <w:bottom w:val="nil"/>
              <w:right w:val="nil"/>
            </w:tcBorders>
            <w:shd w:val="clear" w:color="auto" w:fill="auto"/>
            <w:noWrap/>
            <w:vAlign w:val="bottom"/>
          </w:tcPr>
          <w:p w:rsidR="00EC7B49" w:rsidRPr="007B4511" w:rsidRDefault="00EC7B49" w:rsidP="00837997">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(8,664)</w:t>
            </w:r>
          </w:p>
        </w:tc>
        <w:tc>
          <w:tcPr>
            <w:tcW w:w="1468" w:type="dxa"/>
            <w:tcBorders>
              <w:top w:val="nil"/>
              <w:left w:val="nil"/>
              <w:bottom w:val="nil"/>
              <w:right w:val="nil"/>
            </w:tcBorders>
            <w:shd w:val="clear" w:color="auto" w:fill="auto"/>
            <w:noWrap/>
            <w:vAlign w:val="bottom"/>
          </w:tcPr>
          <w:p w:rsidR="00EC7B49" w:rsidRPr="007B4511" w:rsidRDefault="00EC7B49" w:rsidP="00837997">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(6,650)</w:t>
            </w:r>
          </w:p>
        </w:tc>
        <w:tc>
          <w:tcPr>
            <w:tcW w:w="1468" w:type="dxa"/>
            <w:tcBorders>
              <w:top w:val="nil"/>
              <w:left w:val="nil"/>
              <w:bottom w:val="nil"/>
              <w:right w:val="nil"/>
            </w:tcBorders>
            <w:shd w:val="clear" w:color="auto" w:fill="auto"/>
            <w:noWrap/>
            <w:vAlign w:val="bottom"/>
          </w:tcPr>
          <w:p w:rsidR="00EC7B49" w:rsidRPr="007B4511" w:rsidRDefault="00EC7B49" w:rsidP="00837997">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(4,597)</w:t>
            </w:r>
          </w:p>
        </w:tc>
        <w:tc>
          <w:tcPr>
            <w:tcW w:w="1468" w:type="dxa"/>
            <w:tcBorders>
              <w:top w:val="nil"/>
              <w:left w:val="nil"/>
              <w:bottom w:val="nil"/>
              <w:right w:val="nil"/>
            </w:tcBorders>
            <w:vAlign w:val="bottom"/>
          </w:tcPr>
          <w:p w:rsidR="00EC7B49" w:rsidRPr="00191DA8" w:rsidRDefault="00EC7B49" w:rsidP="00837997">
            <w:pPr>
              <w:spacing w:after="0" w:line="240" w:lineRule="auto"/>
              <w:jc w:val="right"/>
              <w:rPr>
                <w:rFonts w:ascii="Arial" w:eastAsia="Times New Roman" w:hAnsi="Arial" w:cs="Arial"/>
                <w:sz w:val="20"/>
                <w:szCs w:val="20"/>
                <w:lang w:eastAsia="en-GB"/>
              </w:rPr>
            </w:pPr>
            <w:r w:rsidRPr="00191DA8">
              <w:rPr>
                <w:rFonts w:ascii="Arial" w:eastAsia="Times New Roman" w:hAnsi="Arial" w:cs="Arial"/>
                <w:sz w:val="20"/>
                <w:szCs w:val="20"/>
                <w:lang w:eastAsia="en-GB"/>
              </w:rPr>
              <w:t>(2,031)</w:t>
            </w:r>
          </w:p>
        </w:tc>
        <w:tc>
          <w:tcPr>
            <w:tcW w:w="1468" w:type="dxa"/>
            <w:tcBorders>
              <w:top w:val="nil"/>
              <w:left w:val="nil"/>
              <w:bottom w:val="nil"/>
              <w:right w:val="nil"/>
            </w:tcBorders>
            <w:shd w:val="clear" w:color="auto" w:fill="auto"/>
            <w:noWrap/>
            <w:vAlign w:val="bottom"/>
          </w:tcPr>
          <w:p w:rsidR="00EC7B49" w:rsidRPr="00191DA8" w:rsidRDefault="00EC7B49" w:rsidP="0015008B">
            <w:pPr>
              <w:spacing w:after="0" w:line="240" w:lineRule="auto"/>
              <w:jc w:val="right"/>
              <w:rPr>
                <w:rFonts w:ascii="Arial" w:eastAsia="Times New Roman" w:hAnsi="Arial" w:cs="Arial"/>
                <w:sz w:val="20"/>
                <w:szCs w:val="20"/>
                <w:lang w:eastAsia="en-GB"/>
              </w:rPr>
            </w:pPr>
            <w:r w:rsidRPr="00191DA8">
              <w:rPr>
                <w:rFonts w:ascii="Arial" w:eastAsia="Times New Roman" w:hAnsi="Arial" w:cs="Arial"/>
                <w:sz w:val="20"/>
                <w:szCs w:val="20"/>
                <w:lang w:eastAsia="en-GB"/>
              </w:rPr>
              <w:t>(</w:t>
            </w:r>
            <w:r w:rsidR="00302EEA" w:rsidRPr="00191DA8">
              <w:rPr>
                <w:rFonts w:ascii="Arial" w:eastAsia="Times New Roman" w:hAnsi="Arial" w:cs="Arial"/>
                <w:sz w:val="20"/>
                <w:szCs w:val="20"/>
                <w:lang w:eastAsia="en-GB"/>
              </w:rPr>
              <w:t>21,942</w:t>
            </w:r>
            <w:r w:rsidRPr="00191DA8">
              <w:rPr>
                <w:rFonts w:ascii="Arial" w:eastAsia="Times New Roman" w:hAnsi="Arial" w:cs="Arial"/>
                <w:sz w:val="20"/>
                <w:szCs w:val="20"/>
                <w:lang w:eastAsia="en-GB"/>
              </w:rPr>
              <w:t>)</w:t>
            </w: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EC7B49" w:rsidRPr="00191DA8"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191DA8" w:rsidRDefault="00EC7B49" w:rsidP="007B4511">
            <w:pPr>
              <w:spacing w:after="0" w:line="240" w:lineRule="auto"/>
              <w:jc w:val="right"/>
              <w:rPr>
                <w:rFonts w:ascii="Arial" w:eastAsia="Times New Roman" w:hAnsi="Arial" w:cs="Arial"/>
                <w:sz w:val="20"/>
                <w:szCs w:val="20"/>
                <w:lang w:eastAsia="en-GB"/>
              </w:rPr>
            </w:pPr>
          </w:p>
        </w:tc>
      </w:tr>
      <w:tr w:rsidR="00EC7B49" w:rsidRPr="003B1452" w:rsidTr="00191DA8">
        <w:trPr>
          <w:trHeight w:val="58"/>
        </w:trPr>
        <w:tc>
          <w:tcPr>
            <w:tcW w:w="3400" w:type="dxa"/>
            <w:tcBorders>
              <w:top w:val="single" w:sz="4" w:space="0" w:color="auto"/>
              <w:left w:val="nil"/>
              <w:bottom w:val="single" w:sz="4" w:space="0" w:color="auto"/>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Segment net assets</w:t>
            </w:r>
          </w:p>
        </w:tc>
        <w:tc>
          <w:tcPr>
            <w:tcW w:w="1468" w:type="dxa"/>
            <w:tcBorders>
              <w:top w:val="single" w:sz="4" w:space="0" w:color="auto"/>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6,395</w:t>
            </w:r>
          </w:p>
        </w:tc>
        <w:tc>
          <w:tcPr>
            <w:tcW w:w="1468" w:type="dxa"/>
            <w:tcBorders>
              <w:top w:val="single" w:sz="4" w:space="0" w:color="auto"/>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6,142</w:t>
            </w:r>
          </w:p>
        </w:tc>
        <w:tc>
          <w:tcPr>
            <w:tcW w:w="1468" w:type="dxa"/>
            <w:tcBorders>
              <w:top w:val="single" w:sz="4" w:space="0" w:color="auto"/>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8,935</w:t>
            </w:r>
          </w:p>
        </w:tc>
        <w:tc>
          <w:tcPr>
            <w:tcW w:w="1468" w:type="dxa"/>
            <w:tcBorders>
              <w:top w:val="single" w:sz="4" w:space="0" w:color="auto"/>
              <w:left w:val="nil"/>
              <w:bottom w:val="single" w:sz="4" w:space="0" w:color="auto"/>
              <w:right w:val="nil"/>
            </w:tcBorders>
            <w:vAlign w:val="bottom"/>
          </w:tcPr>
          <w:p w:rsidR="00EC7B49" w:rsidRPr="00191DA8" w:rsidRDefault="00EC7B49" w:rsidP="007B4511">
            <w:pPr>
              <w:spacing w:after="0" w:line="240" w:lineRule="auto"/>
              <w:jc w:val="right"/>
              <w:rPr>
                <w:rFonts w:ascii="Arial" w:eastAsia="Times New Roman" w:hAnsi="Arial" w:cs="Arial"/>
                <w:sz w:val="20"/>
                <w:szCs w:val="20"/>
                <w:lang w:eastAsia="en-GB"/>
              </w:rPr>
            </w:pPr>
            <w:r w:rsidRPr="00191DA8">
              <w:rPr>
                <w:rFonts w:ascii="Arial" w:eastAsia="Times New Roman" w:hAnsi="Arial" w:cs="Arial"/>
                <w:sz w:val="20"/>
                <w:szCs w:val="20"/>
                <w:lang w:eastAsia="en-GB"/>
              </w:rPr>
              <w:t>12,807</w:t>
            </w:r>
          </w:p>
        </w:tc>
        <w:tc>
          <w:tcPr>
            <w:tcW w:w="1468" w:type="dxa"/>
            <w:tcBorders>
              <w:top w:val="single" w:sz="4" w:space="0" w:color="auto"/>
              <w:left w:val="nil"/>
              <w:bottom w:val="single" w:sz="4" w:space="0" w:color="auto"/>
              <w:right w:val="nil"/>
            </w:tcBorders>
            <w:shd w:val="clear" w:color="auto" w:fill="auto"/>
            <w:noWrap/>
            <w:vAlign w:val="bottom"/>
          </w:tcPr>
          <w:p w:rsidR="00EC7B49" w:rsidRPr="00191DA8" w:rsidRDefault="00EC7B49" w:rsidP="007B4511">
            <w:pPr>
              <w:spacing w:after="0" w:line="240" w:lineRule="auto"/>
              <w:jc w:val="right"/>
              <w:rPr>
                <w:rFonts w:ascii="Arial" w:eastAsia="Times New Roman" w:hAnsi="Arial" w:cs="Arial"/>
                <w:sz w:val="20"/>
                <w:szCs w:val="20"/>
                <w:lang w:eastAsia="en-GB"/>
              </w:rPr>
            </w:pPr>
            <w:r w:rsidRPr="00191DA8">
              <w:rPr>
                <w:rFonts w:ascii="Arial" w:eastAsia="Times New Roman" w:hAnsi="Arial" w:cs="Arial"/>
                <w:sz w:val="20"/>
                <w:szCs w:val="20"/>
                <w:lang w:eastAsia="en-GB"/>
              </w:rPr>
              <w:t>34,279</w:t>
            </w: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r w:rsidRPr="003B1452">
              <w:rPr>
                <w:rFonts w:ascii="Arial" w:eastAsia="Times New Roman" w:hAnsi="Arial" w:cs="Arial"/>
                <w:i/>
                <w:iCs/>
                <w:sz w:val="20"/>
                <w:szCs w:val="20"/>
                <w:lang w:eastAsia="en-GB"/>
              </w:rPr>
              <w:t>Other segment information</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Capital expenditure:</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nil"/>
              <w:left w:val="nil"/>
              <w:bottom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 </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Property, plant and equipment</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1,332</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223</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598</w:t>
            </w:r>
          </w:p>
        </w:tc>
        <w:tc>
          <w:tcPr>
            <w:tcW w:w="1468" w:type="dxa"/>
            <w:tcBorders>
              <w:top w:val="nil"/>
              <w:left w:val="nil"/>
              <w:bottom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2,153</w:t>
            </w: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Investment properties</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262</w:t>
            </w:r>
          </w:p>
        </w:tc>
        <w:tc>
          <w:tcPr>
            <w:tcW w:w="1468" w:type="dxa"/>
            <w:tcBorders>
              <w:top w:val="nil"/>
              <w:left w:val="nil"/>
              <w:bottom w:val="nil"/>
              <w:right w:val="nil"/>
            </w:tcBorders>
            <w:shd w:val="clear" w:color="auto" w:fill="auto"/>
            <w:noWrap/>
            <w:vAlign w:val="bottom"/>
          </w:tcPr>
          <w:p w:rsidR="00EC7B49" w:rsidRPr="007B4511" w:rsidRDefault="00837997"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EC7B49" w:rsidRPr="007B4511" w:rsidRDefault="00837997"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bottom w:val="nil"/>
              <w:right w:val="nil"/>
            </w:tcBorders>
            <w:vAlign w:val="bottom"/>
          </w:tcPr>
          <w:p w:rsidR="00EC7B49" w:rsidRPr="007B4511" w:rsidRDefault="00837997"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EC7B49" w:rsidRPr="007B4511">
              <w:rPr>
                <w:rFonts w:ascii="Arial" w:eastAsia="Times New Roman" w:hAnsi="Arial" w:cs="Arial"/>
                <w:sz w:val="20"/>
                <w:szCs w:val="20"/>
                <w:lang w:eastAsia="en-GB"/>
              </w:rPr>
              <w:t> </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262</w:t>
            </w:r>
          </w:p>
        </w:tc>
      </w:tr>
      <w:tr w:rsidR="00EC7B49" w:rsidRPr="003B1452" w:rsidTr="00191DA8">
        <w:trPr>
          <w:trHeight w:val="58"/>
        </w:trPr>
        <w:tc>
          <w:tcPr>
            <w:tcW w:w="3400" w:type="dxa"/>
            <w:tcBorders>
              <w:top w:val="nil"/>
              <w:left w:val="nil"/>
              <w:bottom w:val="nil"/>
              <w:right w:val="nil"/>
            </w:tcBorders>
            <w:shd w:val="clear" w:color="auto" w:fill="auto"/>
            <w:noWrap/>
            <w:vAlign w:val="bottom"/>
          </w:tcPr>
          <w:p w:rsidR="00B7148E" w:rsidRDefault="00EC7B49" w:rsidP="007B4511">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 xml:space="preserve">Depreciation </w:t>
            </w:r>
          </w:p>
          <w:p w:rsidR="00EC7B49" w:rsidRPr="003B1452" w:rsidRDefault="00B7148E" w:rsidP="007B451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P</w:t>
            </w:r>
            <w:r w:rsidR="00EC7B49" w:rsidRPr="003B1452">
              <w:rPr>
                <w:rFonts w:ascii="Arial" w:eastAsia="Times New Roman" w:hAnsi="Arial" w:cs="Arial"/>
                <w:sz w:val="20"/>
                <w:szCs w:val="20"/>
                <w:lang w:eastAsia="en-GB"/>
              </w:rPr>
              <w:t>roperty, plant and equipment</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466</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301</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414</w:t>
            </w:r>
          </w:p>
        </w:tc>
        <w:tc>
          <w:tcPr>
            <w:tcW w:w="1468" w:type="dxa"/>
            <w:tcBorders>
              <w:top w:val="nil"/>
              <w:left w:val="nil"/>
              <w:bottom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1,181</w:t>
            </w:r>
          </w:p>
        </w:tc>
      </w:tr>
      <w:tr w:rsidR="00EC7B49" w:rsidRPr="003B1452" w:rsidTr="00191DA8">
        <w:trPr>
          <w:trHeight w:val="58"/>
        </w:trPr>
        <w:tc>
          <w:tcPr>
            <w:tcW w:w="3400" w:type="dxa"/>
            <w:tcBorders>
              <w:top w:val="nil"/>
              <w:left w:val="nil"/>
              <w:right w:val="nil"/>
            </w:tcBorders>
            <w:shd w:val="clear" w:color="auto" w:fill="auto"/>
            <w:noWrap/>
            <w:vAlign w:val="bottom"/>
          </w:tcPr>
          <w:p w:rsidR="00EC7B49" w:rsidRPr="003B1452" w:rsidRDefault="00B7148E" w:rsidP="007B451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I</w:t>
            </w:r>
            <w:r w:rsidR="00EC7B49" w:rsidRPr="003B1452">
              <w:rPr>
                <w:rFonts w:ascii="Arial" w:eastAsia="Times New Roman" w:hAnsi="Arial" w:cs="Arial"/>
                <w:sz w:val="20"/>
                <w:szCs w:val="20"/>
                <w:lang w:eastAsia="en-GB"/>
              </w:rPr>
              <w:t>nvestment properties</w:t>
            </w:r>
          </w:p>
        </w:tc>
        <w:tc>
          <w:tcPr>
            <w:tcW w:w="1468" w:type="dxa"/>
            <w:tcBorders>
              <w:top w:val="nil"/>
              <w:left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23</w:t>
            </w:r>
          </w:p>
        </w:tc>
        <w:tc>
          <w:tcPr>
            <w:tcW w:w="1468" w:type="dxa"/>
            <w:tcBorders>
              <w:top w:val="nil"/>
              <w:left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top w:val="nil"/>
              <w:left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top w:val="nil"/>
              <w:left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top w:val="nil"/>
              <w:left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23</w:t>
            </w:r>
          </w:p>
        </w:tc>
      </w:tr>
      <w:tr w:rsidR="00EC7B49" w:rsidRPr="003B1452" w:rsidTr="00191DA8">
        <w:trPr>
          <w:trHeight w:val="58"/>
        </w:trPr>
        <w:tc>
          <w:tcPr>
            <w:tcW w:w="3400" w:type="dxa"/>
            <w:tcBorders>
              <w:top w:val="nil"/>
              <w:left w:val="nil"/>
              <w:bottom w:val="single" w:sz="4" w:space="0" w:color="auto"/>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 xml:space="preserve">Amortisation </w:t>
            </w:r>
            <w:r w:rsidR="00B7148E" w:rsidRPr="00694326">
              <w:rPr>
                <w:rFonts w:ascii="Arial" w:eastAsia="Times New Roman" w:hAnsi="Arial" w:cs="Arial"/>
                <w:sz w:val="20"/>
                <w:szCs w:val="20"/>
                <w:lang w:eastAsia="en-GB"/>
              </w:rPr>
              <w:t>of intangible assets on acqu</w:t>
            </w:r>
            <w:r w:rsidR="00B7148E">
              <w:rPr>
                <w:rFonts w:ascii="Arial" w:eastAsia="Times New Roman" w:hAnsi="Arial" w:cs="Arial"/>
                <w:sz w:val="20"/>
                <w:szCs w:val="20"/>
                <w:lang w:eastAsia="en-GB"/>
              </w:rPr>
              <w:t>i</w:t>
            </w:r>
            <w:r w:rsidR="00B7148E" w:rsidRPr="00694326">
              <w:rPr>
                <w:rFonts w:ascii="Arial" w:eastAsia="Times New Roman" w:hAnsi="Arial" w:cs="Arial"/>
                <w:sz w:val="20"/>
                <w:szCs w:val="20"/>
                <w:lang w:eastAsia="en-GB"/>
              </w:rPr>
              <w:t xml:space="preserve">sition of </w:t>
            </w:r>
            <w:proofErr w:type="spellStart"/>
            <w:r w:rsidR="00B7148E" w:rsidRPr="00694326">
              <w:rPr>
                <w:rFonts w:ascii="Arial" w:eastAsia="Times New Roman" w:hAnsi="Arial" w:cs="Arial"/>
                <w:sz w:val="20"/>
                <w:szCs w:val="20"/>
                <w:lang w:eastAsia="en-GB"/>
              </w:rPr>
              <w:t>Momart</w:t>
            </w:r>
            <w:proofErr w:type="spellEnd"/>
          </w:p>
        </w:tc>
        <w:tc>
          <w:tcPr>
            <w:tcW w:w="1468" w:type="dxa"/>
            <w:tcBorders>
              <w:top w:val="nil"/>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top w:val="nil"/>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top w:val="nil"/>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398</w:t>
            </w:r>
          </w:p>
        </w:tc>
        <w:tc>
          <w:tcPr>
            <w:tcW w:w="1468" w:type="dxa"/>
            <w:tcBorders>
              <w:top w:val="nil"/>
              <w:left w:val="nil"/>
              <w:bottom w:val="single" w:sz="4" w:space="0" w:color="auto"/>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top w:val="nil"/>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398</w:t>
            </w:r>
          </w:p>
        </w:tc>
      </w:tr>
      <w:tr w:rsidR="00EC7B49" w:rsidRPr="003B1452" w:rsidTr="00191DA8">
        <w:trPr>
          <w:trHeight w:val="58"/>
        </w:trPr>
        <w:tc>
          <w:tcPr>
            <w:tcW w:w="3400" w:type="dxa"/>
            <w:tcBorders>
              <w:top w:val="single" w:sz="4" w:space="0" w:color="auto"/>
              <w:left w:val="nil"/>
              <w:bottom w:val="single" w:sz="4" w:space="0" w:color="auto"/>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p>
        </w:tc>
        <w:tc>
          <w:tcPr>
            <w:tcW w:w="1468" w:type="dxa"/>
            <w:tcBorders>
              <w:top w:val="single" w:sz="4" w:space="0" w:color="auto"/>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single" w:sz="4" w:space="0" w:color="auto"/>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r>
      <w:tr w:rsidR="00EC7B49" w:rsidRPr="003B1452" w:rsidTr="00191DA8">
        <w:trPr>
          <w:trHeight w:val="335"/>
        </w:trPr>
        <w:tc>
          <w:tcPr>
            <w:tcW w:w="3400" w:type="dxa"/>
            <w:tcBorders>
              <w:top w:val="single" w:sz="4" w:space="0" w:color="auto"/>
              <w:left w:val="single" w:sz="4" w:space="0" w:color="auto"/>
              <w:bottom w:val="nil"/>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r w:rsidRPr="003B1452">
              <w:rPr>
                <w:rFonts w:ascii="Arial" w:eastAsia="Times New Roman" w:hAnsi="Arial" w:cs="Arial"/>
                <w:b/>
                <w:bCs/>
                <w:sz w:val="20"/>
                <w:szCs w:val="20"/>
                <w:lang w:eastAsia="en-GB"/>
              </w:rPr>
              <w:t>Underlying profit before tax</w:t>
            </w:r>
          </w:p>
        </w:tc>
        <w:tc>
          <w:tcPr>
            <w:tcW w:w="1468" w:type="dxa"/>
            <w:tcBorders>
              <w:top w:val="single" w:sz="4" w:space="0" w:color="auto"/>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c>
          <w:tcPr>
            <w:tcW w:w="1468" w:type="dxa"/>
            <w:tcBorders>
              <w:top w:val="single" w:sz="4" w:space="0" w:color="auto"/>
              <w:left w:val="nil"/>
              <w:bottom w:val="nil"/>
              <w:right w:val="single" w:sz="4" w:space="0" w:color="auto"/>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p>
        </w:tc>
      </w:tr>
      <w:tr w:rsidR="00EC7B49" w:rsidRPr="003B1452" w:rsidTr="00191DA8">
        <w:trPr>
          <w:trHeight w:val="58"/>
        </w:trPr>
        <w:tc>
          <w:tcPr>
            <w:tcW w:w="3400" w:type="dxa"/>
            <w:tcBorders>
              <w:top w:val="nil"/>
              <w:left w:val="single" w:sz="4" w:space="0" w:color="auto"/>
              <w:bottom w:val="nil"/>
              <w:right w:val="nil"/>
            </w:tcBorders>
            <w:shd w:val="clear" w:color="auto" w:fill="auto"/>
            <w:noWrap/>
            <w:vAlign w:val="bottom"/>
          </w:tcPr>
          <w:p w:rsidR="00EC7B49" w:rsidRPr="007B4511" w:rsidRDefault="00EC7B49" w:rsidP="007B4511">
            <w:pPr>
              <w:spacing w:after="0" w:line="240" w:lineRule="auto"/>
              <w:rPr>
                <w:rFonts w:ascii="Arial" w:eastAsia="Times New Roman" w:hAnsi="Arial" w:cs="Arial"/>
                <w:sz w:val="20"/>
                <w:szCs w:val="20"/>
                <w:lang w:eastAsia="en-GB"/>
              </w:rPr>
            </w:pPr>
            <w:r w:rsidRPr="007B4511">
              <w:rPr>
                <w:rFonts w:ascii="Arial" w:eastAsia="Times New Roman" w:hAnsi="Arial" w:cs="Arial"/>
                <w:bCs/>
                <w:sz w:val="20"/>
                <w:szCs w:val="20"/>
                <w:lang w:eastAsia="en-GB"/>
              </w:rPr>
              <w:t>Segment operating profit</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1,325</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984</w:t>
            </w:r>
          </w:p>
        </w:tc>
        <w:tc>
          <w:tcPr>
            <w:tcW w:w="1468" w:type="dxa"/>
            <w:tcBorders>
              <w:top w:val="nil"/>
              <w:left w:val="nil"/>
              <w:bottom w:val="nil"/>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1,193</w:t>
            </w:r>
          </w:p>
        </w:tc>
        <w:tc>
          <w:tcPr>
            <w:tcW w:w="1468" w:type="dxa"/>
            <w:tcBorders>
              <w:top w:val="nil"/>
              <w:left w:val="nil"/>
              <w:bottom w:val="nil"/>
              <w:right w:val="nil"/>
            </w:tcBorders>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top w:val="nil"/>
              <w:left w:val="nil"/>
              <w:bottom w:val="nil"/>
              <w:right w:val="single" w:sz="4" w:space="0" w:color="auto"/>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3,502</w:t>
            </w:r>
          </w:p>
        </w:tc>
      </w:tr>
      <w:tr w:rsidR="00694326" w:rsidRPr="003B1452" w:rsidTr="00ED600C">
        <w:trPr>
          <w:trHeight w:val="58"/>
        </w:trPr>
        <w:tc>
          <w:tcPr>
            <w:tcW w:w="3400" w:type="dxa"/>
            <w:tcBorders>
              <w:top w:val="nil"/>
              <w:left w:val="single" w:sz="4" w:space="0" w:color="auto"/>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Share of results of joint venture</w:t>
            </w: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bottom w:val="nil"/>
              <w:right w:val="nil"/>
            </w:tcBorders>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bottom w:val="nil"/>
              <w:right w:val="single" w:sz="4" w:space="0" w:color="auto"/>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94326" w:rsidRPr="003B1452" w:rsidTr="00ED600C">
        <w:trPr>
          <w:trHeight w:val="335"/>
        </w:trPr>
        <w:tc>
          <w:tcPr>
            <w:tcW w:w="3400" w:type="dxa"/>
            <w:tcBorders>
              <w:top w:val="single" w:sz="4" w:space="0" w:color="auto"/>
              <w:left w:val="single" w:sz="4" w:space="0" w:color="auto"/>
              <w:bottom w:val="nil"/>
              <w:right w:val="nil"/>
            </w:tcBorders>
            <w:shd w:val="clear" w:color="auto" w:fill="auto"/>
            <w:noWrap/>
            <w:vAlign w:val="bottom"/>
          </w:tcPr>
          <w:p w:rsidR="00694326" w:rsidRPr="003B1452" w:rsidRDefault="00694326" w:rsidP="00ED600C">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Underlying profit before net financing costs</w:t>
            </w:r>
          </w:p>
        </w:tc>
        <w:tc>
          <w:tcPr>
            <w:tcW w:w="1468" w:type="dxa"/>
            <w:tcBorders>
              <w:top w:val="single" w:sz="4" w:space="0" w:color="auto"/>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1,325</w:t>
            </w:r>
          </w:p>
        </w:tc>
        <w:tc>
          <w:tcPr>
            <w:tcW w:w="1468" w:type="dxa"/>
            <w:tcBorders>
              <w:top w:val="single" w:sz="4" w:space="0" w:color="auto"/>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984</w:t>
            </w:r>
          </w:p>
        </w:tc>
        <w:tc>
          <w:tcPr>
            <w:tcW w:w="1468" w:type="dxa"/>
            <w:tcBorders>
              <w:top w:val="single" w:sz="4" w:space="0" w:color="auto"/>
              <w:left w:val="nil"/>
              <w:bottom w:val="nil"/>
              <w:right w:val="nil"/>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1,193</w:t>
            </w:r>
          </w:p>
        </w:tc>
        <w:tc>
          <w:tcPr>
            <w:tcW w:w="1468" w:type="dxa"/>
            <w:tcBorders>
              <w:top w:val="single" w:sz="4" w:space="0" w:color="auto"/>
              <w:left w:val="nil"/>
              <w:bottom w:val="nil"/>
              <w:right w:val="nil"/>
            </w:tcBorders>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w:t>
            </w:r>
          </w:p>
        </w:tc>
        <w:tc>
          <w:tcPr>
            <w:tcW w:w="1468" w:type="dxa"/>
            <w:tcBorders>
              <w:top w:val="single" w:sz="4" w:space="0" w:color="auto"/>
              <w:left w:val="nil"/>
              <w:bottom w:val="nil"/>
              <w:right w:val="single" w:sz="4" w:space="0" w:color="auto"/>
            </w:tcBorders>
            <w:shd w:val="clear" w:color="auto" w:fill="auto"/>
            <w:noWrap/>
            <w:vAlign w:val="bottom"/>
          </w:tcPr>
          <w:p w:rsidR="00694326" w:rsidRPr="007B4511" w:rsidRDefault="00694326" w:rsidP="00ED600C">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3,502</w:t>
            </w:r>
          </w:p>
        </w:tc>
      </w:tr>
      <w:tr w:rsidR="00ED600C" w:rsidRPr="003B1452" w:rsidTr="00191DA8">
        <w:trPr>
          <w:trHeight w:val="58"/>
        </w:trPr>
        <w:tc>
          <w:tcPr>
            <w:tcW w:w="3400" w:type="dxa"/>
            <w:tcBorders>
              <w:top w:val="nil"/>
              <w:left w:val="single" w:sz="4" w:space="0" w:color="auto"/>
              <w:bottom w:val="nil"/>
              <w:right w:val="nil"/>
            </w:tcBorders>
            <w:shd w:val="clear" w:color="auto" w:fill="auto"/>
            <w:noWrap/>
            <w:vAlign w:val="bottom"/>
          </w:tcPr>
          <w:p w:rsidR="00ED600C" w:rsidRPr="003B1452" w:rsidRDefault="00ED600C" w:rsidP="0038115F">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Interest income</w:t>
            </w:r>
          </w:p>
        </w:tc>
        <w:tc>
          <w:tcPr>
            <w:tcW w:w="1468" w:type="dxa"/>
            <w:tcBorders>
              <w:top w:val="nil"/>
              <w:left w:val="nil"/>
              <w:bottom w:val="nil"/>
              <w:right w:val="nil"/>
            </w:tcBorders>
            <w:shd w:val="clear" w:color="auto" w:fill="auto"/>
            <w:noWrap/>
            <w:vAlign w:val="bottom"/>
          </w:tcPr>
          <w:p w:rsidR="00ED600C" w:rsidRPr="00ED600C" w:rsidRDefault="00902660"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91</w:t>
            </w:r>
          </w:p>
        </w:tc>
        <w:tc>
          <w:tcPr>
            <w:tcW w:w="1468" w:type="dxa"/>
            <w:tcBorders>
              <w:top w:val="nil"/>
              <w:left w:val="nil"/>
              <w:bottom w:val="nil"/>
              <w:right w:val="nil"/>
            </w:tcBorders>
            <w:shd w:val="clear" w:color="auto" w:fill="auto"/>
            <w:noWrap/>
            <w:vAlign w:val="bottom"/>
          </w:tcPr>
          <w:p w:rsidR="00ED600C" w:rsidRPr="00ED600C" w:rsidRDefault="00902660"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1468" w:type="dxa"/>
            <w:tcBorders>
              <w:top w:val="nil"/>
              <w:left w:val="nil"/>
              <w:bottom w:val="nil"/>
              <w:right w:val="nil"/>
            </w:tcBorders>
            <w:shd w:val="clear" w:color="auto" w:fill="auto"/>
            <w:noWrap/>
            <w:vAlign w:val="bottom"/>
          </w:tcPr>
          <w:p w:rsidR="00ED600C" w:rsidRPr="00ED600C" w:rsidRDefault="00902660"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468" w:type="dxa"/>
            <w:tcBorders>
              <w:top w:val="nil"/>
              <w:left w:val="nil"/>
              <w:bottom w:val="nil"/>
              <w:right w:val="nil"/>
            </w:tcBorders>
            <w:vAlign w:val="bottom"/>
          </w:tcPr>
          <w:p w:rsidR="00ED600C" w:rsidRPr="00ED600C" w:rsidRDefault="00902660"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164</w:t>
            </w:r>
          </w:p>
        </w:tc>
        <w:tc>
          <w:tcPr>
            <w:tcW w:w="1468" w:type="dxa"/>
            <w:tcBorders>
              <w:top w:val="nil"/>
              <w:left w:val="nil"/>
              <w:bottom w:val="nil"/>
              <w:right w:val="single" w:sz="4" w:space="0" w:color="auto"/>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257</w:t>
            </w:r>
          </w:p>
        </w:tc>
      </w:tr>
      <w:tr w:rsidR="00ED600C" w:rsidRPr="003B1452" w:rsidTr="00191DA8">
        <w:trPr>
          <w:trHeight w:val="58"/>
        </w:trPr>
        <w:tc>
          <w:tcPr>
            <w:tcW w:w="3400" w:type="dxa"/>
            <w:tcBorders>
              <w:top w:val="nil"/>
              <w:left w:val="single" w:sz="4" w:space="0" w:color="auto"/>
              <w:bottom w:val="nil"/>
              <w:right w:val="nil"/>
            </w:tcBorders>
            <w:shd w:val="clear" w:color="auto" w:fill="auto"/>
            <w:noWrap/>
            <w:vAlign w:val="bottom"/>
          </w:tcPr>
          <w:p w:rsidR="00ED600C" w:rsidRPr="003B1452" w:rsidRDefault="00ED600C" w:rsidP="007B4511">
            <w:pPr>
              <w:spacing w:after="0" w:line="240" w:lineRule="auto"/>
              <w:rPr>
                <w:rFonts w:ascii="Arial" w:eastAsia="Times New Roman" w:hAnsi="Arial" w:cs="Arial"/>
                <w:sz w:val="20"/>
                <w:szCs w:val="20"/>
                <w:lang w:eastAsia="en-GB"/>
              </w:rPr>
            </w:pPr>
            <w:r w:rsidRPr="003B1452">
              <w:rPr>
                <w:rFonts w:ascii="Arial" w:eastAsia="Times New Roman" w:hAnsi="Arial" w:cs="Arial"/>
                <w:sz w:val="20"/>
                <w:szCs w:val="20"/>
                <w:lang w:eastAsia="en-GB"/>
              </w:rPr>
              <w:t>Interest expense</w:t>
            </w:r>
          </w:p>
        </w:tc>
        <w:tc>
          <w:tcPr>
            <w:tcW w:w="1468"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(118)</w:t>
            </w:r>
          </w:p>
        </w:tc>
        <w:tc>
          <w:tcPr>
            <w:tcW w:w="1468"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(263)</w:t>
            </w:r>
          </w:p>
        </w:tc>
        <w:tc>
          <w:tcPr>
            <w:tcW w:w="1468" w:type="dxa"/>
            <w:tcBorders>
              <w:top w:val="nil"/>
              <w:left w:val="nil"/>
              <w:bottom w:val="nil"/>
              <w:right w:val="nil"/>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w:t>
            </w:r>
            <w:r w:rsidR="00902660">
              <w:rPr>
                <w:rFonts w:ascii="Arial" w:eastAsia="Times New Roman" w:hAnsi="Arial" w:cs="Arial"/>
                <w:sz w:val="20"/>
                <w:szCs w:val="20"/>
                <w:lang w:eastAsia="en-GB"/>
              </w:rPr>
              <w:t>29</w:t>
            </w:r>
            <w:r w:rsidRPr="00ED600C">
              <w:rPr>
                <w:rFonts w:ascii="Arial" w:eastAsia="Times New Roman" w:hAnsi="Arial" w:cs="Arial"/>
                <w:sz w:val="20"/>
                <w:szCs w:val="20"/>
                <w:lang w:eastAsia="en-GB"/>
              </w:rPr>
              <w:t>)</w:t>
            </w:r>
          </w:p>
        </w:tc>
        <w:tc>
          <w:tcPr>
            <w:tcW w:w="1468" w:type="dxa"/>
            <w:tcBorders>
              <w:top w:val="nil"/>
              <w:left w:val="nil"/>
              <w:bottom w:val="nil"/>
              <w:right w:val="nil"/>
            </w:tcBorders>
            <w:vAlign w:val="bottom"/>
          </w:tcPr>
          <w:p w:rsidR="00ED600C" w:rsidRPr="00ED600C" w:rsidRDefault="00902660" w:rsidP="00ED600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(58)</w:t>
            </w:r>
          </w:p>
        </w:tc>
        <w:tc>
          <w:tcPr>
            <w:tcW w:w="1468" w:type="dxa"/>
            <w:tcBorders>
              <w:top w:val="nil"/>
              <w:left w:val="nil"/>
              <w:bottom w:val="nil"/>
              <w:right w:val="single" w:sz="4" w:space="0" w:color="auto"/>
            </w:tcBorders>
            <w:shd w:val="clear" w:color="auto" w:fill="auto"/>
            <w:noWrap/>
            <w:vAlign w:val="bottom"/>
          </w:tcPr>
          <w:p w:rsidR="00ED600C" w:rsidRPr="00ED600C" w:rsidRDefault="00ED600C" w:rsidP="00ED600C">
            <w:pPr>
              <w:spacing w:after="0" w:line="240" w:lineRule="auto"/>
              <w:jc w:val="right"/>
              <w:rPr>
                <w:rFonts w:ascii="Arial" w:eastAsia="Times New Roman" w:hAnsi="Arial" w:cs="Arial"/>
                <w:sz w:val="20"/>
                <w:szCs w:val="20"/>
                <w:lang w:eastAsia="en-GB"/>
              </w:rPr>
            </w:pPr>
            <w:r w:rsidRPr="00ED600C">
              <w:rPr>
                <w:rFonts w:ascii="Arial" w:eastAsia="Times New Roman" w:hAnsi="Arial" w:cs="Arial"/>
                <w:sz w:val="20"/>
                <w:szCs w:val="20"/>
                <w:lang w:eastAsia="en-GB"/>
              </w:rPr>
              <w:t>(468)</w:t>
            </w:r>
          </w:p>
        </w:tc>
      </w:tr>
      <w:tr w:rsidR="00EC7B49" w:rsidRPr="003B1452" w:rsidTr="00191DA8">
        <w:trPr>
          <w:trHeight w:val="58"/>
        </w:trPr>
        <w:tc>
          <w:tcPr>
            <w:tcW w:w="3400" w:type="dxa"/>
            <w:tcBorders>
              <w:top w:val="single" w:sz="4" w:space="0" w:color="auto"/>
              <w:left w:val="single" w:sz="4" w:space="0" w:color="auto"/>
              <w:bottom w:val="single" w:sz="4" w:space="0" w:color="auto"/>
              <w:right w:val="nil"/>
            </w:tcBorders>
            <w:shd w:val="clear" w:color="auto" w:fill="auto"/>
            <w:noWrap/>
            <w:vAlign w:val="bottom"/>
          </w:tcPr>
          <w:p w:rsidR="00EC7B49" w:rsidRPr="003B1452" w:rsidRDefault="00EC7B49" w:rsidP="007B4511">
            <w:pPr>
              <w:spacing w:after="0" w:line="240" w:lineRule="auto"/>
              <w:rPr>
                <w:rFonts w:ascii="Arial" w:eastAsia="Times New Roman" w:hAnsi="Arial" w:cs="Arial"/>
                <w:sz w:val="20"/>
                <w:szCs w:val="20"/>
                <w:lang w:eastAsia="en-GB"/>
              </w:rPr>
            </w:pPr>
            <w:r w:rsidRPr="003B1452">
              <w:rPr>
                <w:rFonts w:ascii="Arial" w:eastAsia="Times New Roman" w:hAnsi="Arial" w:cs="Arial"/>
                <w:b/>
                <w:bCs/>
                <w:sz w:val="20"/>
                <w:szCs w:val="20"/>
                <w:lang w:eastAsia="en-GB"/>
              </w:rPr>
              <w:t>Underlying profit before tax</w:t>
            </w:r>
          </w:p>
        </w:tc>
        <w:tc>
          <w:tcPr>
            <w:tcW w:w="1468" w:type="dxa"/>
            <w:tcBorders>
              <w:top w:val="single" w:sz="4" w:space="0" w:color="auto"/>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w:t>
            </w:r>
            <w:r w:rsidR="00902660">
              <w:rPr>
                <w:rFonts w:ascii="Arial" w:eastAsia="Times New Roman" w:hAnsi="Arial" w:cs="Arial"/>
                <w:sz w:val="20"/>
                <w:szCs w:val="20"/>
                <w:lang w:eastAsia="en-GB"/>
              </w:rPr>
              <w:t>298</w:t>
            </w:r>
          </w:p>
        </w:tc>
        <w:tc>
          <w:tcPr>
            <w:tcW w:w="1468" w:type="dxa"/>
            <w:tcBorders>
              <w:top w:val="single" w:sz="4" w:space="0" w:color="auto"/>
              <w:left w:val="nil"/>
              <w:bottom w:val="single" w:sz="4" w:space="0" w:color="auto"/>
              <w:right w:val="nil"/>
            </w:tcBorders>
            <w:shd w:val="clear" w:color="auto" w:fill="auto"/>
            <w:noWrap/>
            <w:vAlign w:val="bottom"/>
          </w:tcPr>
          <w:p w:rsidR="00EC7B49" w:rsidRPr="007B4511" w:rsidRDefault="00EC7B49" w:rsidP="00902660">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72</w:t>
            </w:r>
            <w:r w:rsidR="00902660">
              <w:rPr>
                <w:rFonts w:ascii="Arial" w:eastAsia="Times New Roman" w:hAnsi="Arial" w:cs="Arial"/>
                <w:sz w:val="20"/>
                <w:szCs w:val="20"/>
                <w:lang w:eastAsia="en-GB"/>
              </w:rPr>
              <w:t>3</w:t>
            </w:r>
          </w:p>
        </w:tc>
        <w:tc>
          <w:tcPr>
            <w:tcW w:w="1468" w:type="dxa"/>
            <w:tcBorders>
              <w:top w:val="single" w:sz="4" w:space="0" w:color="auto"/>
              <w:left w:val="nil"/>
              <w:bottom w:val="single" w:sz="4" w:space="0" w:color="auto"/>
              <w:right w:val="nil"/>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1,1</w:t>
            </w:r>
            <w:r w:rsidR="00902660">
              <w:rPr>
                <w:rFonts w:ascii="Arial" w:eastAsia="Times New Roman" w:hAnsi="Arial" w:cs="Arial"/>
                <w:sz w:val="20"/>
                <w:szCs w:val="20"/>
                <w:lang w:eastAsia="en-GB"/>
              </w:rPr>
              <w:t>64</w:t>
            </w:r>
          </w:p>
        </w:tc>
        <w:tc>
          <w:tcPr>
            <w:tcW w:w="1468" w:type="dxa"/>
            <w:tcBorders>
              <w:top w:val="single" w:sz="4" w:space="0" w:color="auto"/>
              <w:left w:val="nil"/>
              <w:bottom w:val="single" w:sz="4" w:space="0" w:color="auto"/>
              <w:right w:val="nil"/>
            </w:tcBorders>
            <w:vAlign w:val="bottom"/>
          </w:tcPr>
          <w:p w:rsidR="00EC7B49" w:rsidRPr="007B4511" w:rsidRDefault="00902660"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106</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EC7B49" w:rsidRPr="007B4511" w:rsidRDefault="00EC7B49"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3,291</w:t>
            </w:r>
          </w:p>
        </w:tc>
      </w:tr>
    </w:tbl>
    <w:p w:rsidR="00875418" w:rsidRDefault="00875418" w:rsidP="00DE57A1">
      <w:pPr>
        <w:spacing w:after="0" w:line="240" w:lineRule="auto"/>
        <w:jc w:val="both"/>
        <w:rPr>
          <w:rFonts w:ascii="Arial" w:hAnsi="Arial" w:cs="Arial"/>
          <w:b/>
          <w:sz w:val="20"/>
          <w:szCs w:val="20"/>
        </w:rPr>
      </w:pPr>
    </w:p>
    <w:p w:rsidR="004B7139" w:rsidRDefault="004B7139">
      <w:pPr>
        <w:spacing w:after="0" w:line="240" w:lineRule="auto"/>
        <w:rPr>
          <w:rFonts w:ascii="Arial" w:hAnsi="Arial" w:cs="Arial"/>
          <w:b/>
          <w:sz w:val="20"/>
          <w:szCs w:val="20"/>
        </w:rPr>
      </w:pPr>
      <w:r>
        <w:rPr>
          <w:rFonts w:ascii="Arial" w:hAnsi="Arial" w:cs="Arial"/>
          <w:b/>
          <w:sz w:val="20"/>
          <w:szCs w:val="20"/>
        </w:rPr>
        <w:br w:type="page"/>
      </w:r>
    </w:p>
    <w:p w:rsidR="007B4511" w:rsidRDefault="007B4511" w:rsidP="007B4511">
      <w:pPr>
        <w:spacing w:after="0" w:line="240" w:lineRule="auto"/>
        <w:rPr>
          <w:rFonts w:ascii="Arial" w:hAnsi="Arial" w:cs="Arial"/>
          <w:b/>
          <w:sz w:val="20"/>
          <w:szCs w:val="20"/>
        </w:rPr>
      </w:pPr>
      <w:r>
        <w:rPr>
          <w:rFonts w:ascii="Arial" w:hAnsi="Arial" w:cs="Arial"/>
          <w:b/>
          <w:sz w:val="20"/>
          <w:szCs w:val="20"/>
        </w:rPr>
        <w:t>3.  Finance income and expense</w:t>
      </w:r>
    </w:p>
    <w:p w:rsidR="007B4511" w:rsidRDefault="007B4511" w:rsidP="007B4511">
      <w:pPr>
        <w:spacing w:after="0" w:line="240" w:lineRule="auto"/>
        <w:rPr>
          <w:rFonts w:ascii="Arial" w:hAnsi="Arial" w:cs="Arial"/>
          <w:b/>
          <w:sz w:val="20"/>
          <w:szCs w:val="20"/>
        </w:rPr>
      </w:pPr>
    </w:p>
    <w:p w:rsidR="007B4511" w:rsidRDefault="007B4511" w:rsidP="007B4511">
      <w:pPr>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01"/>
        <w:gridCol w:w="1701"/>
      </w:tblGrid>
      <w:tr w:rsidR="00694326" w:rsidTr="00ED600C">
        <w:tc>
          <w:tcPr>
            <w:tcW w:w="4644" w:type="dxa"/>
          </w:tcPr>
          <w:p w:rsidR="00694326" w:rsidRPr="00C15E0A" w:rsidRDefault="00694326" w:rsidP="007B4511">
            <w:pPr>
              <w:spacing w:after="0" w:line="240" w:lineRule="auto"/>
              <w:rPr>
                <w:rFonts w:ascii="Arial" w:hAnsi="Arial" w:cs="Arial"/>
                <w:sz w:val="20"/>
                <w:szCs w:val="20"/>
              </w:rPr>
            </w:pPr>
            <w:r w:rsidRPr="00C15E0A">
              <w:rPr>
                <w:rFonts w:ascii="Arial" w:hAnsi="Arial" w:cs="Arial"/>
                <w:sz w:val="20"/>
                <w:szCs w:val="20"/>
              </w:rPr>
              <w:t>Year ended 31 March</w:t>
            </w:r>
          </w:p>
        </w:tc>
        <w:tc>
          <w:tcPr>
            <w:tcW w:w="1701" w:type="dxa"/>
          </w:tcPr>
          <w:p w:rsidR="00694326" w:rsidRPr="005309CC" w:rsidRDefault="00694326" w:rsidP="00ED600C">
            <w:pPr>
              <w:spacing w:after="0" w:line="240" w:lineRule="auto"/>
              <w:jc w:val="right"/>
              <w:rPr>
                <w:rFonts w:ascii="Arial" w:hAnsi="Arial" w:cs="Arial"/>
                <w:b/>
                <w:sz w:val="20"/>
                <w:szCs w:val="20"/>
              </w:rPr>
            </w:pPr>
            <w:r>
              <w:rPr>
                <w:rFonts w:ascii="Arial" w:hAnsi="Arial" w:cs="Arial"/>
                <w:b/>
                <w:sz w:val="20"/>
                <w:szCs w:val="20"/>
              </w:rPr>
              <w:t>2014</w:t>
            </w:r>
          </w:p>
          <w:p w:rsidR="00694326" w:rsidRDefault="00694326" w:rsidP="00ED600C">
            <w:pPr>
              <w:spacing w:after="0" w:line="240" w:lineRule="auto"/>
              <w:jc w:val="right"/>
              <w:rPr>
                <w:rFonts w:ascii="Arial" w:hAnsi="Arial" w:cs="Arial"/>
                <w:b/>
                <w:sz w:val="20"/>
                <w:szCs w:val="20"/>
              </w:rPr>
            </w:pPr>
            <w:r w:rsidRPr="005309CC">
              <w:rPr>
                <w:rFonts w:ascii="Arial" w:hAnsi="Arial" w:cs="Arial"/>
                <w:b/>
                <w:sz w:val="20"/>
                <w:szCs w:val="20"/>
              </w:rPr>
              <w:t>£’000</w:t>
            </w:r>
          </w:p>
        </w:tc>
        <w:tc>
          <w:tcPr>
            <w:tcW w:w="1701" w:type="dxa"/>
          </w:tcPr>
          <w:p w:rsidR="00694326" w:rsidRPr="00694326" w:rsidRDefault="00694326" w:rsidP="007B4511">
            <w:pPr>
              <w:spacing w:after="0" w:line="240" w:lineRule="auto"/>
              <w:jc w:val="right"/>
              <w:rPr>
                <w:rFonts w:ascii="Arial" w:hAnsi="Arial" w:cs="Arial"/>
                <w:sz w:val="20"/>
                <w:szCs w:val="20"/>
              </w:rPr>
            </w:pPr>
            <w:r w:rsidRPr="00694326">
              <w:rPr>
                <w:rFonts w:ascii="Arial" w:hAnsi="Arial" w:cs="Arial"/>
                <w:sz w:val="20"/>
                <w:szCs w:val="20"/>
              </w:rPr>
              <w:t>2013</w:t>
            </w:r>
          </w:p>
          <w:p w:rsidR="00694326" w:rsidRPr="00694326" w:rsidRDefault="00694326" w:rsidP="007B4511">
            <w:pPr>
              <w:spacing w:after="0" w:line="240" w:lineRule="auto"/>
              <w:jc w:val="right"/>
              <w:rPr>
                <w:rFonts w:ascii="Arial" w:hAnsi="Arial" w:cs="Arial"/>
                <w:sz w:val="20"/>
                <w:szCs w:val="20"/>
              </w:rPr>
            </w:pPr>
            <w:r w:rsidRPr="00694326">
              <w:rPr>
                <w:rFonts w:ascii="Arial" w:hAnsi="Arial" w:cs="Arial"/>
                <w:sz w:val="20"/>
                <w:szCs w:val="20"/>
              </w:rPr>
              <w:t>£’000</w:t>
            </w:r>
          </w:p>
        </w:tc>
      </w:tr>
      <w:tr w:rsidR="00694326" w:rsidTr="00ED600C">
        <w:tc>
          <w:tcPr>
            <w:tcW w:w="4644" w:type="dxa"/>
          </w:tcPr>
          <w:p w:rsidR="00694326" w:rsidRPr="00C15E0A" w:rsidRDefault="00694326" w:rsidP="007B4511">
            <w:pPr>
              <w:spacing w:after="0" w:line="240" w:lineRule="auto"/>
              <w:rPr>
                <w:rFonts w:ascii="Arial" w:hAnsi="Arial" w:cs="Arial"/>
                <w:sz w:val="20"/>
                <w:szCs w:val="20"/>
              </w:rPr>
            </w:pPr>
          </w:p>
        </w:tc>
        <w:tc>
          <w:tcPr>
            <w:tcW w:w="1701" w:type="dxa"/>
          </w:tcPr>
          <w:p w:rsidR="00694326" w:rsidRDefault="00694326" w:rsidP="00ED600C">
            <w:pPr>
              <w:spacing w:after="0" w:line="240" w:lineRule="auto"/>
              <w:jc w:val="right"/>
              <w:rPr>
                <w:rFonts w:ascii="Arial" w:hAnsi="Arial" w:cs="Arial"/>
                <w:b/>
                <w:sz w:val="20"/>
                <w:szCs w:val="20"/>
              </w:rPr>
            </w:pPr>
          </w:p>
        </w:tc>
        <w:tc>
          <w:tcPr>
            <w:tcW w:w="1701" w:type="dxa"/>
          </w:tcPr>
          <w:p w:rsidR="00694326" w:rsidRPr="00694326" w:rsidRDefault="00694326" w:rsidP="007B4511">
            <w:pPr>
              <w:spacing w:after="0" w:line="240" w:lineRule="auto"/>
              <w:jc w:val="right"/>
              <w:rPr>
                <w:rFonts w:ascii="Arial" w:hAnsi="Arial" w:cs="Arial"/>
                <w:sz w:val="20"/>
                <w:szCs w:val="20"/>
              </w:rPr>
            </w:pPr>
          </w:p>
        </w:tc>
      </w:tr>
      <w:tr w:rsidR="00694326" w:rsidTr="00ED600C">
        <w:trPr>
          <w:trHeight w:val="283"/>
        </w:trPr>
        <w:tc>
          <w:tcPr>
            <w:tcW w:w="4644" w:type="dxa"/>
          </w:tcPr>
          <w:p w:rsidR="00694326" w:rsidRPr="00C15E0A" w:rsidRDefault="00694326" w:rsidP="007B4511">
            <w:pPr>
              <w:spacing w:after="0" w:line="240" w:lineRule="auto"/>
              <w:rPr>
                <w:rFonts w:ascii="Arial" w:hAnsi="Arial" w:cs="Arial"/>
                <w:sz w:val="20"/>
                <w:szCs w:val="20"/>
              </w:rPr>
            </w:pPr>
            <w:r w:rsidRPr="00C15E0A">
              <w:rPr>
                <w:rFonts w:ascii="Arial" w:hAnsi="Arial" w:cs="Arial"/>
                <w:sz w:val="20"/>
                <w:szCs w:val="20"/>
              </w:rPr>
              <w:t xml:space="preserve">Bank interest receivable  </w:t>
            </w:r>
          </w:p>
        </w:tc>
        <w:tc>
          <w:tcPr>
            <w:tcW w:w="1701" w:type="dxa"/>
          </w:tcPr>
          <w:p w:rsidR="00694326" w:rsidRDefault="00694326" w:rsidP="00ED600C">
            <w:pPr>
              <w:spacing w:after="0" w:line="240" w:lineRule="auto"/>
              <w:jc w:val="right"/>
              <w:rPr>
                <w:rFonts w:ascii="Arial" w:hAnsi="Arial" w:cs="Arial"/>
                <w:b/>
                <w:sz w:val="20"/>
                <w:szCs w:val="20"/>
              </w:rPr>
            </w:pPr>
            <w:r>
              <w:rPr>
                <w:rFonts w:ascii="Arial" w:hAnsi="Arial" w:cs="Arial"/>
                <w:b/>
                <w:sz w:val="20"/>
                <w:szCs w:val="20"/>
              </w:rPr>
              <w:t>99</w:t>
            </w:r>
          </w:p>
        </w:tc>
        <w:tc>
          <w:tcPr>
            <w:tcW w:w="1701" w:type="dxa"/>
          </w:tcPr>
          <w:p w:rsidR="00694326" w:rsidRPr="00694326" w:rsidRDefault="00694326" w:rsidP="007B4511">
            <w:pPr>
              <w:spacing w:after="0" w:line="240" w:lineRule="auto"/>
              <w:jc w:val="right"/>
              <w:rPr>
                <w:rFonts w:ascii="Arial" w:hAnsi="Arial" w:cs="Arial"/>
                <w:sz w:val="20"/>
                <w:szCs w:val="20"/>
              </w:rPr>
            </w:pPr>
            <w:r w:rsidRPr="00694326">
              <w:rPr>
                <w:rFonts w:ascii="Arial" w:hAnsi="Arial" w:cs="Arial"/>
                <w:sz w:val="20"/>
                <w:szCs w:val="20"/>
              </w:rPr>
              <w:t>164</w:t>
            </w:r>
          </w:p>
        </w:tc>
      </w:tr>
      <w:tr w:rsidR="00694326" w:rsidTr="00ED600C">
        <w:trPr>
          <w:trHeight w:val="283"/>
        </w:trPr>
        <w:tc>
          <w:tcPr>
            <w:tcW w:w="4644" w:type="dxa"/>
          </w:tcPr>
          <w:p w:rsidR="00694326" w:rsidRPr="00C15E0A" w:rsidRDefault="00694326" w:rsidP="007B4511">
            <w:pPr>
              <w:spacing w:after="0" w:line="240" w:lineRule="auto"/>
              <w:rPr>
                <w:rFonts w:ascii="Arial" w:hAnsi="Arial" w:cs="Arial"/>
                <w:sz w:val="20"/>
                <w:szCs w:val="20"/>
              </w:rPr>
            </w:pPr>
            <w:r w:rsidRPr="00C15E0A">
              <w:rPr>
                <w:rFonts w:ascii="Arial" w:hAnsi="Arial" w:cs="Arial"/>
                <w:sz w:val="20"/>
                <w:szCs w:val="20"/>
              </w:rPr>
              <w:t>Finance lease interest receivable</w:t>
            </w:r>
          </w:p>
        </w:tc>
        <w:tc>
          <w:tcPr>
            <w:tcW w:w="1701" w:type="dxa"/>
          </w:tcPr>
          <w:p w:rsidR="00694326" w:rsidRDefault="00694326" w:rsidP="00ED600C">
            <w:pPr>
              <w:spacing w:after="0" w:line="240" w:lineRule="auto"/>
              <w:jc w:val="right"/>
              <w:rPr>
                <w:rFonts w:ascii="Arial" w:hAnsi="Arial" w:cs="Arial"/>
                <w:b/>
                <w:sz w:val="20"/>
                <w:szCs w:val="20"/>
              </w:rPr>
            </w:pPr>
            <w:r>
              <w:rPr>
                <w:rFonts w:ascii="Arial" w:hAnsi="Arial" w:cs="Arial"/>
                <w:b/>
                <w:sz w:val="20"/>
                <w:szCs w:val="20"/>
              </w:rPr>
              <w:t>121</w:t>
            </w:r>
          </w:p>
        </w:tc>
        <w:tc>
          <w:tcPr>
            <w:tcW w:w="1701" w:type="dxa"/>
          </w:tcPr>
          <w:p w:rsidR="00694326" w:rsidRPr="00694326" w:rsidRDefault="00694326" w:rsidP="007B4511">
            <w:pPr>
              <w:spacing w:after="0" w:line="240" w:lineRule="auto"/>
              <w:jc w:val="right"/>
              <w:rPr>
                <w:rFonts w:ascii="Arial" w:hAnsi="Arial" w:cs="Arial"/>
                <w:sz w:val="20"/>
                <w:szCs w:val="20"/>
              </w:rPr>
            </w:pPr>
            <w:r w:rsidRPr="00694326">
              <w:rPr>
                <w:rFonts w:ascii="Arial" w:hAnsi="Arial" w:cs="Arial"/>
                <w:sz w:val="20"/>
                <w:szCs w:val="20"/>
              </w:rPr>
              <w:t>91</w:t>
            </w:r>
          </w:p>
        </w:tc>
      </w:tr>
      <w:tr w:rsidR="00694326" w:rsidTr="00ED600C">
        <w:trPr>
          <w:trHeight w:val="283"/>
        </w:trPr>
        <w:tc>
          <w:tcPr>
            <w:tcW w:w="4644" w:type="dxa"/>
          </w:tcPr>
          <w:p w:rsidR="00694326" w:rsidRPr="00C15E0A" w:rsidRDefault="00694326" w:rsidP="007B4511">
            <w:pPr>
              <w:spacing w:after="0" w:line="240" w:lineRule="auto"/>
              <w:rPr>
                <w:rFonts w:ascii="Arial" w:hAnsi="Arial" w:cs="Arial"/>
                <w:sz w:val="20"/>
                <w:szCs w:val="20"/>
              </w:rPr>
            </w:pPr>
            <w:r w:rsidRPr="00694326">
              <w:rPr>
                <w:rFonts w:ascii="Arial" w:hAnsi="Arial" w:cs="Arial"/>
                <w:sz w:val="20"/>
                <w:szCs w:val="20"/>
              </w:rPr>
              <w:t>Net interest income on the PHFC net defined benefit liabilities</w:t>
            </w:r>
          </w:p>
        </w:tc>
        <w:tc>
          <w:tcPr>
            <w:tcW w:w="1701" w:type="dxa"/>
          </w:tcPr>
          <w:p w:rsidR="00694326" w:rsidRDefault="00694326" w:rsidP="00ED600C">
            <w:pPr>
              <w:spacing w:after="0" w:line="240" w:lineRule="auto"/>
              <w:jc w:val="right"/>
              <w:rPr>
                <w:rFonts w:ascii="Arial" w:hAnsi="Arial" w:cs="Arial"/>
                <w:b/>
                <w:sz w:val="20"/>
                <w:szCs w:val="20"/>
              </w:rPr>
            </w:pPr>
            <w:r>
              <w:rPr>
                <w:rFonts w:ascii="Arial" w:hAnsi="Arial" w:cs="Arial"/>
                <w:b/>
                <w:sz w:val="20"/>
                <w:szCs w:val="20"/>
              </w:rPr>
              <w:t>-</w:t>
            </w:r>
          </w:p>
        </w:tc>
        <w:tc>
          <w:tcPr>
            <w:tcW w:w="1701" w:type="dxa"/>
          </w:tcPr>
          <w:p w:rsidR="00694326" w:rsidRPr="00694326" w:rsidRDefault="00694326" w:rsidP="007B4511">
            <w:pPr>
              <w:spacing w:after="0" w:line="240" w:lineRule="auto"/>
              <w:jc w:val="right"/>
              <w:rPr>
                <w:rFonts w:ascii="Arial" w:hAnsi="Arial" w:cs="Arial"/>
                <w:sz w:val="20"/>
                <w:szCs w:val="20"/>
              </w:rPr>
            </w:pPr>
            <w:r>
              <w:rPr>
                <w:rFonts w:ascii="Arial" w:hAnsi="Arial" w:cs="Arial"/>
                <w:sz w:val="20"/>
                <w:szCs w:val="20"/>
              </w:rPr>
              <w:t>2</w:t>
            </w:r>
          </w:p>
        </w:tc>
      </w:tr>
      <w:tr w:rsidR="00694326" w:rsidTr="00ED600C">
        <w:trPr>
          <w:trHeight w:val="283"/>
        </w:trPr>
        <w:tc>
          <w:tcPr>
            <w:tcW w:w="4644" w:type="dxa"/>
            <w:tcBorders>
              <w:bottom w:val="single" w:sz="4" w:space="0" w:color="auto"/>
            </w:tcBorders>
          </w:tcPr>
          <w:p w:rsidR="00694326" w:rsidRPr="00C15E0A" w:rsidRDefault="00694326" w:rsidP="007B4511">
            <w:pPr>
              <w:spacing w:after="0" w:line="240" w:lineRule="auto"/>
              <w:rPr>
                <w:rFonts w:ascii="Arial" w:hAnsi="Arial" w:cs="Arial"/>
                <w:sz w:val="20"/>
                <w:szCs w:val="20"/>
              </w:rPr>
            </w:pPr>
          </w:p>
        </w:tc>
        <w:tc>
          <w:tcPr>
            <w:tcW w:w="1701" w:type="dxa"/>
            <w:tcBorders>
              <w:bottom w:val="single" w:sz="4" w:space="0" w:color="auto"/>
            </w:tcBorders>
          </w:tcPr>
          <w:p w:rsidR="00694326" w:rsidRDefault="00694326" w:rsidP="00ED600C">
            <w:pPr>
              <w:spacing w:after="0" w:line="240" w:lineRule="auto"/>
              <w:jc w:val="right"/>
              <w:rPr>
                <w:rFonts w:ascii="Arial" w:hAnsi="Arial" w:cs="Arial"/>
                <w:b/>
                <w:sz w:val="20"/>
                <w:szCs w:val="20"/>
              </w:rPr>
            </w:pPr>
          </w:p>
        </w:tc>
        <w:tc>
          <w:tcPr>
            <w:tcW w:w="1701" w:type="dxa"/>
            <w:tcBorders>
              <w:bottom w:val="single" w:sz="4" w:space="0" w:color="auto"/>
            </w:tcBorders>
          </w:tcPr>
          <w:p w:rsidR="00694326" w:rsidRPr="00694326" w:rsidRDefault="00694326" w:rsidP="007B4511">
            <w:pPr>
              <w:spacing w:after="0" w:line="240" w:lineRule="auto"/>
              <w:jc w:val="right"/>
              <w:rPr>
                <w:rFonts w:ascii="Arial" w:hAnsi="Arial" w:cs="Arial"/>
                <w:sz w:val="20"/>
                <w:szCs w:val="20"/>
              </w:rPr>
            </w:pPr>
          </w:p>
        </w:tc>
      </w:tr>
      <w:tr w:rsidR="00694326" w:rsidTr="00ED600C">
        <w:trPr>
          <w:trHeight w:val="283"/>
        </w:trPr>
        <w:tc>
          <w:tcPr>
            <w:tcW w:w="4644" w:type="dxa"/>
            <w:tcBorders>
              <w:top w:val="single" w:sz="4" w:space="0" w:color="auto"/>
              <w:bottom w:val="single" w:sz="4" w:space="0" w:color="auto"/>
            </w:tcBorders>
          </w:tcPr>
          <w:p w:rsidR="00694326" w:rsidRPr="00C15E0A" w:rsidRDefault="00694326" w:rsidP="007B4511">
            <w:pPr>
              <w:spacing w:after="0" w:line="240" w:lineRule="auto"/>
              <w:rPr>
                <w:rFonts w:ascii="Arial" w:hAnsi="Arial" w:cs="Arial"/>
                <w:sz w:val="20"/>
                <w:szCs w:val="20"/>
              </w:rPr>
            </w:pPr>
            <w:r w:rsidRPr="00C15E0A">
              <w:rPr>
                <w:rFonts w:ascii="Arial" w:hAnsi="Arial" w:cs="Arial"/>
                <w:sz w:val="20"/>
                <w:szCs w:val="20"/>
              </w:rPr>
              <w:t>Total financial income</w:t>
            </w:r>
          </w:p>
        </w:tc>
        <w:tc>
          <w:tcPr>
            <w:tcW w:w="1701" w:type="dxa"/>
            <w:tcBorders>
              <w:top w:val="single" w:sz="4" w:space="0" w:color="auto"/>
              <w:bottom w:val="single" w:sz="4" w:space="0" w:color="auto"/>
            </w:tcBorders>
          </w:tcPr>
          <w:p w:rsidR="00694326" w:rsidRDefault="00694326" w:rsidP="00ED600C">
            <w:pPr>
              <w:spacing w:after="0" w:line="240" w:lineRule="auto"/>
              <w:jc w:val="right"/>
              <w:rPr>
                <w:rFonts w:ascii="Arial" w:hAnsi="Arial" w:cs="Arial"/>
                <w:b/>
                <w:sz w:val="20"/>
                <w:szCs w:val="20"/>
              </w:rPr>
            </w:pPr>
            <w:r>
              <w:rPr>
                <w:rFonts w:ascii="Arial" w:hAnsi="Arial" w:cs="Arial"/>
                <w:b/>
                <w:sz w:val="20"/>
                <w:szCs w:val="20"/>
              </w:rPr>
              <w:t>220</w:t>
            </w:r>
          </w:p>
        </w:tc>
        <w:tc>
          <w:tcPr>
            <w:tcW w:w="1701" w:type="dxa"/>
            <w:tcBorders>
              <w:top w:val="single" w:sz="4" w:space="0" w:color="auto"/>
              <w:bottom w:val="single" w:sz="4" w:space="0" w:color="auto"/>
            </w:tcBorders>
          </w:tcPr>
          <w:p w:rsidR="00694326" w:rsidRPr="00694326" w:rsidRDefault="00694326" w:rsidP="00694326">
            <w:pPr>
              <w:spacing w:after="0" w:line="240" w:lineRule="auto"/>
              <w:jc w:val="right"/>
              <w:rPr>
                <w:rFonts w:ascii="Arial" w:hAnsi="Arial" w:cs="Arial"/>
                <w:sz w:val="20"/>
                <w:szCs w:val="20"/>
              </w:rPr>
            </w:pPr>
            <w:r>
              <w:rPr>
                <w:rFonts w:ascii="Arial" w:hAnsi="Arial" w:cs="Arial"/>
                <w:sz w:val="20"/>
                <w:szCs w:val="20"/>
              </w:rPr>
              <w:t>257</w:t>
            </w:r>
          </w:p>
        </w:tc>
      </w:tr>
      <w:tr w:rsidR="00694326" w:rsidTr="00ED600C">
        <w:trPr>
          <w:trHeight w:val="283"/>
        </w:trPr>
        <w:tc>
          <w:tcPr>
            <w:tcW w:w="4644" w:type="dxa"/>
            <w:tcBorders>
              <w:top w:val="single" w:sz="4" w:space="0" w:color="auto"/>
            </w:tcBorders>
          </w:tcPr>
          <w:p w:rsidR="00694326" w:rsidRPr="00C15E0A" w:rsidRDefault="00694326" w:rsidP="007B4511">
            <w:pPr>
              <w:spacing w:after="0" w:line="240" w:lineRule="auto"/>
              <w:rPr>
                <w:rFonts w:ascii="Arial" w:hAnsi="Arial" w:cs="Arial"/>
                <w:sz w:val="20"/>
                <w:szCs w:val="20"/>
              </w:rPr>
            </w:pPr>
          </w:p>
        </w:tc>
        <w:tc>
          <w:tcPr>
            <w:tcW w:w="1701" w:type="dxa"/>
            <w:tcBorders>
              <w:top w:val="single" w:sz="4" w:space="0" w:color="auto"/>
            </w:tcBorders>
          </w:tcPr>
          <w:p w:rsidR="00694326" w:rsidRDefault="00694326" w:rsidP="00ED600C">
            <w:pPr>
              <w:spacing w:after="0" w:line="240" w:lineRule="auto"/>
              <w:jc w:val="right"/>
              <w:rPr>
                <w:rFonts w:ascii="Arial" w:hAnsi="Arial" w:cs="Arial"/>
                <w:b/>
                <w:sz w:val="20"/>
                <w:szCs w:val="20"/>
              </w:rPr>
            </w:pPr>
          </w:p>
        </w:tc>
        <w:tc>
          <w:tcPr>
            <w:tcW w:w="1701" w:type="dxa"/>
            <w:tcBorders>
              <w:top w:val="single" w:sz="4" w:space="0" w:color="auto"/>
            </w:tcBorders>
          </w:tcPr>
          <w:p w:rsidR="00694326" w:rsidRPr="00694326" w:rsidRDefault="00694326" w:rsidP="007B4511">
            <w:pPr>
              <w:spacing w:after="0" w:line="240" w:lineRule="auto"/>
              <w:jc w:val="right"/>
              <w:rPr>
                <w:rFonts w:ascii="Arial" w:hAnsi="Arial" w:cs="Arial"/>
                <w:sz w:val="20"/>
                <w:szCs w:val="20"/>
              </w:rPr>
            </w:pPr>
          </w:p>
        </w:tc>
      </w:tr>
      <w:tr w:rsidR="00694326" w:rsidTr="00ED600C">
        <w:trPr>
          <w:trHeight w:val="283"/>
        </w:trPr>
        <w:tc>
          <w:tcPr>
            <w:tcW w:w="4644" w:type="dxa"/>
          </w:tcPr>
          <w:p w:rsidR="00694326" w:rsidRPr="00C15E0A" w:rsidRDefault="00694326" w:rsidP="007B4511">
            <w:pPr>
              <w:spacing w:after="0" w:line="240" w:lineRule="auto"/>
              <w:rPr>
                <w:rFonts w:ascii="Arial" w:hAnsi="Arial" w:cs="Arial"/>
                <w:sz w:val="20"/>
                <w:szCs w:val="20"/>
              </w:rPr>
            </w:pPr>
            <w:r w:rsidRPr="00C15E0A">
              <w:rPr>
                <w:rFonts w:ascii="Arial" w:hAnsi="Arial" w:cs="Arial"/>
                <w:sz w:val="20"/>
                <w:szCs w:val="20"/>
              </w:rPr>
              <w:t>Interest payable on bank loans</w:t>
            </w:r>
          </w:p>
        </w:tc>
        <w:tc>
          <w:tcPr>
            <w:tcW w:w="1701" w:type="dxa"/>
          </w:tcPr>
          <w:p w:rsidR="00694326" w:rsidRDefault="00694326" w:rsidP="00ED600C">
            <w:pPr>
              <w:spacing w:after="0" w:line="240" w:lineRule="auto"/>
              <w:jc w:val="right"/>
              <w:rPr>
                <w:rFonts w:ascii="Arial" w:hAnsi="Arial" w:cs="Arial"/>
                <w:b/>
                <w:sz w:val="20"/>
                <w:szCs w:val="20"/>
              </w:rPr>
            </w:pPr>
            <w:r>
              <w:rPr>
                <w:rFonts w:ascii="Arial" w:hAnsi="Arial" w:cs="Arial"/>
                <w:b/>
                <w:sz w:val="20"/>
                <w:szCs w:val="20"/>
              </w:rPr>
              <w:t>(39)</w:t>
            </w:r>
          </w:p>
        </w:tc>
        <w:tc>
          <w:tcPr>
            <w:tcW w:w="1701" w:type="dxa"/>
          </w:tcPr>
          <w:p w:rsidR="00694326" w:rsidRPr="00694326" w:rsidRDefault="00694326" w:rsidP="007B4511">
            <w:pPr>
              <w:spacing w:after="0" w:line="240" w:lineRule="auto"/>
              <w:jc w:val="right"/>
              <w:rPr>
                <w:rFonts w:ascii="Arial" w:hAnsi="Arial" w:cs="Arial"/>
                <w:sz w:val="20"/>
                <w:szCs w:val="20"/>
              </w:rPr>
            </w:pPr>
            <w:r w:rsidRPr="00694326">
              <w:rPr>
                <w:rFonts w:ascii="Arial" w:hAnsi="Arial" w:cs="Arial"/>
                <w:sz w:val="20"/>
                <w:szCs w:val="20"/>
              </w:rPr>
              <w:t>(85)</w:t>
            </w:r>
          </w:p>
        </w:tc>
      </w:tr>
      <w:tr w:rsidR="00694326" w:rsidTr="00ED600C">
        <w:trPr>
          <w:trHeight w:val="283"/>
        </w:trPr>
        <w:tc>
          <w:tcPr>
            <w:tcW w:w="4644" w:type="dxa"/>
          </w:tcPr>
          <w:p w:rsidR="00694326" w:rsidRPr="00C15E0A" w:rsidRDefault="00694326" w:rsidP="007B4511">
            <w:pPr>
              <w:spacing w:after="0" w:line="240" w:lineRule="auto"/>
              <w:rPr>
                <w:rFonts w:ascii="Arial" w:hAnsi="Arial" w:cs="Arial"/>
                <w:sz w:val="20"/>
                <w:szCs w:val="20"/>
              </w:rPr>
            </w:pPr>
            <w:r w:rsidRPr="00C15E0A">
              <w:rPr>
                <w:rFonts w:ascii="Arial" w:hAnsi="Arial" w:cs="Arial"/>
                <w:sz w:val="20"/>
                <w:szCs w:val="20"/>
              </w:rPr>
              <w:t>In</w:t>
            </w:r>
            <w:r>
              <w:rPr>
                <w:rFonts w:ascii="Arial" w:hAnsi="Arial" w:cs="Arial"/>
                <w:sz w:val="20"/>
                <w:szCs w:val="20"/>
              </w:rPr>
              <w:t>terest cost on pension scheme liabilities</w:t>
            </w:r>
          </w:p>
        </w:tc>
        <w:tc>
          <w:tcPr>
            <w:tcW w:w="1701" w:type="dxa"/>
          </w:tcPr>
          <w:p w:rsidR="00694326" w:rsidRDefault="00694326" w:rsidP="00ED600C">
            <w:pPr>
              <w:spacing w:after="0" w:line="240" w:lineRule="auto"/>
              <w:jc w:val="right"/>
              <w:rPr>
                <w:rFonts w:ascii="Arial" w:hAnsi="Arial" w:cs="Arial"/>
                <w:b/>
                <w:sz w:val="20"/>
                <w:szCs w:val="20"/>
              </w:rPr>
            </w:pPr>
            <w:r>
              <w:rPr>
                <w:rFonts w:ascii="Arial" w:hAnsi="Arial" w:cs="Arial"/>
                <w:b/>
                <w:sz w:val="20"/>
                <w:szCs w:val="20"/>
              </w:rPr>
              <w:t>(108)</w:t>
            </w:r>
          </w:p>
        </w:tc>
        <w:tc>
          <w:tcPr>
            <w:tcW w:w="1701" w:type="dxa"/>
          </w:tcPr>
          <w:p w:rsidR="00694326" w:rsidRPr="00694326" w:rsidRDefault="00694326" w:rsidP="007B4511">
            <w:pPr>
              <w:spacing w:after="0" w:line="240" w:lineRule="auto"/>
              <w:jc w:val="right"/>
              <w:rPr>
                <w:rFonts w:ascii="Arial" w:hAnsi="Arial" w:cs="Arial"/>
                <w:sz w:val="20"/>
                <w:szCs w:val="20"/>
              </w:rPr>
            </w:pPr>
            <w:r>
              <w:rPr>
                <w:rFonts w:ascii="Arial" w:hAnsi="Arial" w:cs="Arial"/>
                <w:sz w:val="20"/>
                <w:szCs w:val="20"/>
              </w:rPr>
              <w:t>(111</w:t>
            </w:r>
            <w:r w:rsidRPr="00694326">
              <w:rPr>
                <w:rFonts w:ascii="Arial" w:hAnsi="Arial" w:cs="Arial"/>
                <w:sz w:val="20"/>
                <w:szCs w:val="20"/>
              </w:rPr>
              <w:t>)</w:t>
            </w:r>
          </w:p>
        </w:tc>
      </w:tr>
      <w:tr w:rsidR="00694326" w:rsidTr="00ED600C">
        <w:trPr>
          <w:trHeight w:val="283"/>
        </w:trPr>
        <w:tc>
          <w:tcPr>
            <w:tcW w:w="4644" w:type="dxa"/>
          </w:tcPr>
          <w:p w:rsidR="00694326" w:rsidRPr="00C15E0A" w:rsidRDefault="00694326" w:rsidP="007B4511">
            <w:pPr>
              <w:spacing w:after="0" w:line="240" w:lineRule="auto"/>
              <w:rPr>
                <w:rFonts w:ascii="Arial" w:hAnsi="Arial" w:cs="Arial"/>
                <w:sz w:val="20"/>
                <w:szCs w:val="20"/>
              </w:rPr>
            </w:pPr>
            <w:r>
              <w:rPr>
                <w:rFonts w:ascii="Arial" w:hAnsi="Arial" w:cs="Arial"/>
                <w:sz w:val="20"/>
                <w:szCs w:val="20"/>
              </w:rPr>
              <w:t>Amortisation of loan fees</w:t>
            </w:r>
          </w:p>
        </w:tc>
        <w:tc>
          <w:tcPr>
            <w:tcW w:w="1701" w:type="dxa"/>
          </w:tcPr>
          <w:p w:rsidR="00694326" w:rsidRDefault="00694326" w:rsidP="00ED600C">
            <w:pPr>
              <w:spacing w:after="0" w:line="240" w:lineRule="auto"/>
              <w:jc w:val="right"/>
              <w:rPr>
                <w:rFonts w:ascii="Arial" w:hAnsi="Arial" w:cs="Arial"/>
                <w:b/>
                <w:sz w:val="20"/>
                <w:szCs w:val="20"/>
              </w:rPr>
            </w:pPr>
            <w:r>
              <w:rPr>
                <w:rFonts w:ascii="Arial" w:hAnsi="Arial" w:cs="Arial"/>
                <w:b/>
                <w:sz w:val="20"/>
                <w:szCs w:val="20"/>
              </w:rPr>
              <w:t>(16)</w:t>
            </w:r>
          </w:p>
        </w:tc>
        <w:tc>
          <w:tcPr>
            <w:tcW w:w="1701" w:type="dxa"/>
          </w:tcPr>
          <w:p w:rsidR="00694326" w:rsidRPr="00694326" w:rsidRDefault="00694326" w:rsidP="007B4511">
            <w:pPr>
              <w:spacing w:after="0" w:line="240" w:lineRule="auto"/>
              <w:jc w:val="right"/>
              <w:rPr>
                <w:rFonts w:ascii="Arial" w:hAnsi="Arial" w:cs="Arial"/>
                <w:sz w:val="20"/>
                <w:szCs w:val="20"/>
              </w:rPr>
            </w:pPr>
            <w:r w:rsidRPr="00694326">
              <w:rPr>
                <w:rFonts w:ascii="Arial" w:hAnsi="Arial" w:cs="Arial"/>
                <w:sz w:val="20"/>
                <w:szCs w:val="20"/>
              </w:rPr>
              <w:t>(16)</w:t>
            </w:r>
          </w:p>
        </w:tc>
      </w:tr>
      <w:tr w:rsidR="00694326" w:rsidTr="00ED600C">
        <w:trPr>
          <w:trHeight w:val="283"/>
        </w:trPr>
        <w:tc>
          <w:tcPr>
            <w:tcW w:w="4644" w:type="dxa"/>
          </w:tcPr>
          <w:p w:rsidR="00694326" w:rsidRPr="00C15E0A" w:rsidRDefault="00694326" w:rsidP="007B4511">
            <w:pPr>
              <w:spacing w:after="0" w:line="240" w:lineRule="auto"/>
              <w:rPr>
                <w:rFonts w:ascii="Arial" w:hAnsi="Arial" w:cs="Arial"/>
                <w:sz w:val="20"/>
                <w:szCs w:val="20"/>
              </w:rPr>
            </w:pPr>
            <w:r>
              <w:rPr>
                <w:rFonts w:ascii="Arial" w:hAnsi="Arial" w:cs="Arial"/>
                <w:sz w:val="20"/>
                <w:szCs w:val="20"/>
              </w:rPr>
              <w:t>Finance lease interest payable</w:t>
            </w:r>
          </w:p>
        </w:tc>
        <w:tc>
          <w:tcPr>
            <w:tcW w:w="1701" w:type="dxa"/>
          </w:tcPr>
          <w:p w:rsidR="00694326" w:rsidRDefault="00694326" w:rsidP="00ED600C">
            <w:pPr>
              <w:spacing w:after="0" w:line="240" w:lineRule="auto"/>
              <w:jc w:val="right"/>
              <w:rPr>
                <w:rFonts w:ascii="Arial" w:hAnsi="Arial" w:cs="Arial"/>
                <w:b/>
                <w:sz w:val="20"/>
                <w:szCs w:val="20"/>
              </w:rPr>
            </w:pPr>
            <w:r>
              <w:rPr>
                <w:rFonts w:ascii="Arial" w:hAnsi="Arial" w:cs="Arial"/>
                <w:b/>
                <w:sz w:val="20"/>
                <w:szCs w:val="20"/>
              </w:rPr>
              <w:t>(262)</w:t>
            </w:r>
          </w:p>
        </w:tc>
        <w:tc>
          <w:tcPr>
            <w:tcW w:w="1701" w:type="dxa"/>
          </w:tcPr>
          <w:p w:rsidR="00694326" w:rsidRPr="00694326" w:rsidRDefault="00694326" w:rsidP="007B4511">
            <w:pPr>
              <w:spacing w:after="0" w:line="240" w:lineRule="auto"/>
              <w:jc w:val="right"/>
              <w:rPr>
                <w:rFonts w:ascii="Arial" w:hAnsi="Arial" w:cs="Arial"/>
                <w:sz w:val="20"/>
                <w:szCs w:val="20"/>
              </w:rPr>
            </w:pPr>
            <w:r w:rsidRPr="00694326">
              <w:rPr>
                <w:rFonts w:ascii="Arial" w:hAnsi="Arial" w:cs="Arial"/>
                <w:sz w:val="20"/>
                <w:szCs w:val="20"/>
              </w:rPr>
              <w:t>(256)</w:t>
            </w:r>
          </w:p>
        </w:tc>
      </w:tr>
      <w:tr w:rsidR="00694326" w:rsidTr="00ED600C">
        <w:trPr>
          <w:trHeight w:val="283"/>
        </w:trPr>
        <w:tc>
          <w:tcPr>
            <w:tcW w:w="4644" w:type="dxa"/>
          </w:tcPr>
          <w:p w:rsidR="00694326" w:rsidRPr="00C15E0A" w:rsidRDefault="00694326" w:rsidP="007B4511">
            <w:pPr>
              <w:spacing w:after="0" w:line="240" w:lineRule="auto"/>
              <w:rPr>
                <w:rFonts w:ascii="Arial" w:hAnsi="Arial" w:cs="Arial"/>
                <w:sz w:val="20"/>
                <w:szCs w:val="20"/>
              </w:rPr>
            </w:pPr>
          </w:p>
        </w:tc>
        <w:tc>
          <w:tcPr>
            <w:tcW w:w="1701" w:type="dxa"/>
          </w:tcPr>
          <w:p w:rsidR="00694326" w:rsidRDefault="00694326" w:rsidP="00ED600C">
            <w:pPr>
              <w:spacing w:after="0" w:line="240" w:lineRule="auto"/>
              <w:jc w:val="right"/>
              <w:rPr>
                <w:rFonts w:ascii="Arial" w:hAnsi="Arial" w:cs="Arial"/>
                <w:b/>
                <w:sz w:val="20"/>
                <w:szCs w:val="20"/>
              </w:rPr>
            </w:pPr>
          </w:p>
        </w:tc>
        <w:tc>
          <w:tcPr>
            <w:tcW w:w="1701" w:type="dxa"/>
          </w:tcPr>
          <w:p w:rsidR="00694326" w:rsidRPr="00694326" w:rsidRDefault="00694326" w:rsidP="007B4511">
            <w:pPr>
              <w:spacing w:after="0" w:line="240" w:lineRule="auto"/>
              <w:jc w:val="right"/>
              <w:rPr>
                <w:rFonts w:ascii="Arial" w:hAnsi="Arial" w:cs="Arial"/>
                <w:sz w:val="20"/>
                <w:szCs w:val="20"/>
              </w:rPr>
            </w:pPr>
          </w:p>
        </w:tc>
      </w:tr>
      <w:tr w:rsidR="00694326" w:rsidTr="00ED600C">
        <w:trPr>
          <w:trHeight w:val="283"/>
        </w:trPr>
        <w:tc>
          <w:tcPr>
            <w:tcW w:w="4644" w:type="dxa"/>
            <w:tcBorders>
              <w:top w:val="single" w:sz="4" w:space="0" w:color="auto"/>
              <w:bottom w:val="single" w:sz="4" w:space="0" w:color="auto"/>
            </w:tcBorders>
          </w:tcPr>
          <w:p w:rsidR="00694326" w:rsidRPr="00C15E0A" w:rsidRDefault="00694326" w:rsidP="007B4511">
            <w:pPr>
              <w:spacing w:after="0" w:line="240" w:lineRule="auto"/>
              <w:rPr>
                <w:rFonts w:ascii="Arial" w:hAnsi="Arial" w:cs="Arial"/>
                <w:sz w:val="20"/>
                <w:szCs w:val="20"/>
              </w:rPr>
            </w:pPr>
            <w:r>
              <w:rPr>
                <w:rFonts w:ascii="Arial" w:hAnsi="Arial" w:cs="Arial"/>
                <w:sz w:val="20"/>
                <w:szCs w:val="20"/>
              </w:rPr>
              <w:t>Total financial expense</w:t>
            </w:r>
          </w:p>
        </w:tc>
        <w:tc>
          <w:tcPr>
            <w:tcW w:w="1701" w:type="dxa"/>
            <w:tcBorders>
              <w:top w:val="single" w:sz="4" w:space="0" w:color="auto"/>
              <w:bottom w:val="single" w:sz="4" w:space="0" w:color="auto"/>
            </w:tcBorders>
          </w:tcPr>
          <w:p w:rsidR="00694326" w:rsidRDefault="00694326" w:rsidP="00ED600C">
            <w:pPr>
              <w:spacing w:after="0" w:line="240" w:lineRule="auto"/>
              <w:jc w:val="right"/>
              <w:rPr>
                <w:rFonts w:ascii="Arial" w:hAnsi="Arial" w:cs="Arial"/>
                <w:b/>
                <w:sz w:val="20"/>
                <w:szCs w:val="20"/>
              </w:rPr>
            </w:pPr>
            <w:r>
              <w:rPr>
                <w:rFonts w:ascii="Arial" w:hAnsi="Arial" w:cs="Arial"/>
                <w:b/>
                <w:sz w:val="20"/>
                <w:szCs w:val="20"/>
              </w:rPr>
              <w:t>(425)</w:t>
            </w:r>
          </w:p>
        </w:tc>
        <w:tc>
          <w:tcPr>
            <w:tcW w:w="1701" w:type="dxa"/>
            <w:tcBorders>
              <w:top w:val="single" w:sz="4" w:space="0" w:color="auto"/>
              <w:bottom w:val="single" w:sz="4" w:space="0" w:color="auto"/>
            </w:tcBorders>
          </w:tcPr>
          <w:p w:rsidR="00694326" w:rsidRPr="00694326" w:rsidRDefault="00694326" w:rsidP="007B4511">
            <w:pPr>
              <w:spacing w:after="0" w:line="240" w:lineRule="auto"/>
              <w:jc w:val="right"/>
              <w:rPr>
                <w:rFonts w:ascii="Arial" w:hAnsi="Arial" w:cs="Arial"/>
                <w:sz w:val="20"/>
                <w:szCs w:val="20"/>
              </w:rPr>
            </w:pPr>
            <w:r>
              <w:rPr>
                <w:rFonts w:ascii="Arial" w:hAnsi="Arial" w:cs="Arial"/>
                <w:sz w:val="20"/>
                <w:szCs w:val="20"/>
              </w:rPr>
              <w:t>(468</w:t>
            </w:r>
            <w:r w:rsidRPr="00694326">
              <w:rPr>
                <w:rFonts w:ascii="Arial" w:hAnsi="Arial" w:cs="Arial"/>
                <w:sz w:val="20"/>
                <w:szCs w:val="20"/>
              </w:rPr>
              <w:t>)</w:t>
            </w:r>
          </w:p>
        </w:tc>
      </w:tr>
      <w:tr w:rsidR="00694326" w:rsidTr="00ED600C">
        <w:trPr>
          <w:trHeight w:val="283"/>
        </w:trPr>
        <w:tc>
          <w:tcPr>
            <w:tcW w:w="4644" w:type="dxa"/>
          </w:tcPr>
          <w:p w:rsidR="00694326" w:rsidRPr="00C15E0A" w:rsidRDefault="00694326" w:rsidP="007B4511">
            <w:pPr>
              <w:spacing w:after="0" w:line="240" w:lineRule="auto"/>
              <w:rPr>
                <w:rFonts w:ascii="Arial" w:hAnsi="Arial" w:cs="Arial"/>
                <w:sz w:val="20"/>
                <w:szCs w:val="20"/>
              </w:rPr>
            </w:pPr>
          </w:p>
        </w:tc>
        <w:tc>
          <w:tcPr>
            <w:tcW w:w="1701" w:type="dxa"/>
          </w:tcPr>
          <w:p w:rsidR="00694326" w:rsidRDefault="00694326" w:rsidP="00ED600C">
            <w:pPr>
              <w:spacing w:after="0" w:line="240" w:lineRule="auto"/>
              <w:jc w:val="right"/>
              <w:rPr>
                <w:rFonts w:ascii="Arial" w:hAnsi="Arial" w:cs="Arial"/>
                <w:b/>
                <w:sz w:val="20"/>
                <w:szCs w:val="20"/>
              </w:rPr>
            </w:pPr>
          </w:p>
        </w:tc>
        <w:tc>
          <w:tcPr>
            <w:tcW w:w="1701" w:type="dxa"/>
          </w:tcPr>
          <w:p w:rsidR="00694326" w:rsidRPr="00694326" w:rsidRDefault="00694326" w:rsidP="007B4511">
            <w:pPr>
              <w:spacing w:after="0" w:line="240" w:lineRule="auto"/>
              <w:jc w:val="right"/>
              <w:rPr>
                <w:rFonts w:ascii="Arial" w:hAnsi="Arial" w:cs="Arial"/>
                <w:sz w:val="20"/>
                <w:szCs w:val="20"/>
              </w:rPr>
            </w:pPr>
          </w:p>
        </w:tc>
      </w:tr>
      <w:tr w:rsidR="00694326" w:rsidTr="00ED600C">
        <w:trPr>
          <w:trHeight w:val="283"/>
        </w:trPr>
        <w:tc>
          <w:tcPr>
            <w:tcW w:w="4644" w:type="dxa"/>
            <w:tcBorders>
              <w:top w:val="single" w:sz="4" w:space="0" w:color="auto"/>
              <w:bottom w:val="single" w:sz="4" w:space="0" w:color="auto"/>
            </w:tcBorders>
          </w:tcPr>
          <w:p w:rsidR="00694326" w:rsidRPr="00C15E0A" w:rsidRDefault="00694326" w:rsidP="009C3F5C">
            <w:pPr>
              <w:spacing w:after="0" w:line="240" w:lineRule="auto"/>
              <w:rPr>
                <w:rFonts w:ascii="Arial" w:hAnsi="Arial" w:cs="Arial"/>
                <w:sz w:val="20"/>
                <w:szCs w:val="20"/>
              </w:rPr>
            </w:pPr>
            <w:r w:rsidRPr="00C15E0A">
              <w:rPr>
                <w:rFonts w:ascii="Arial" w:hAnsi="Arial" w:cs="Arial"/>
                <w:sz w:val="20"/>
                <w:szCs w:val="20"/>
              </w:rPr>
              <w:t>Total</w:t>
            </w:r>
            <w:r w:rsidR="002042FF">
              <w:rPr>
                <w:rFonts w:ascii="Arial" w:hAnsi="Arial" w:cs="Arial"/>
                <w:sz w:val="20"/>
                <w:szCs w:val="20"/>
              </w:rPr>
              <w:t xml:space="preserve"> net</w:t>
            </w:r>
            <w:r w:rsidRPr="00C15E0A">
              <w:rPr>
                <w:rFonts w:ascii="Arial" w:hAnsi="Arial" w:cs="Arial"/>
                <w:sz w:val="20"/>
                <w:szCs w:val="20"/>
              </w:rPr>
              <w:t xml:space="preserve"> financi</w:t>
            </w:r>
            <w:r w:rsidR="002042FF">
              <w:rPr>
                <w:rFonts w:ascii="Arial" w:hAnsi="Arial" w:cs="Arial"/>
                <w:sz w:val="20"/>
                <w:szCs w:val="20"/>
              </w:rPr>
              <w:t>ng costs</w:t>
            </w:r>
            <w:r w:rsidRPr="00C15E0A">
              <w:rPr>
                <w:rFonts w:ascii="Arial" w:hAnsi="Arial" w:cs="Arial"/>
                <w:sz w:val="20"/>
                <w:szCs w:val="20"/>
              </w:rPr>
              <w:t xml:space="preserve"> </w:t>
            </w:r>
          </w:p>
        </w:tc>
        <w:tc>
          <w:tcPr>
            <w:tcW w:w="1701" w:type="dxa"/>
            <w:tcBorders>
              <w:top w:val="single" w:sz="4" w:space="0" w:color="auto"/>
              <w:bottom w:val="single" w:sz="4" w:space="0" w:color="auto"/>
            </w:tcBorders>
          </w:tcPr>
          <w:p w:rsidR="00694326" w:rsidRDefault="00694326" w:rsidP="00ED600C">
            <w:pPr>
              <w:spacing w:after="0" w:line="240" w:lineRule="auto"/>
              <w:jc w:val="right"/>
              <w:rPr>
                <w:rFonts w:ascii="Arial" w:hAnsi="Arial" w:cs="Arial"/>
                <w:b/>
                <w:sz w:val="20"/>
                <w:szCs w:val="20"/>
              </w:rPr>
            </w:pPr>
            <w:r>
              <w:rPr>
                <w:rFonts w:ascii="Arial" w:hAnsi="Arial" w:cs="Arial"/>
                <w:b/>
                <w:sz w:val="20"/>
                <w:szCs w:val="20"/>
              </w:rPr>
              <w:t>(205)</w:t>
            </w:r>
          </w:p>
        </w:tc>
        <w:tc>
          <w:tcPr>
            <w:tcW w:w="1701" w:type="dxa"/>
            <w:tcBorders>
              <w:top w:val="single" w:sz="4" w:space="0" w:color="auto"/>
              <w:bottom w:val="single" w:sz="4" w:space="0" w:color="auto"/>
            </w:tcBorders>
          </w:tcPr>
          <w:p w:rsidR="00694326" w:rsidRPr="00694326" w:rsidRDefault="00694326" w:rsidP="007B4511">
            <w:pPr>
              <w:spacing w:after="0" w:line="240" w:lineRule="auto"/>
              <w:jc w:val="right"/>
              <w:rPr>
                <w:rFonts w:ascii="Arial" w:hAnsi="Arial" w:cs="Arial"/>
                <w:sz w:val="20"/>
                <w:szCs w:val="20"/>
              </w:rPr>
            </w:pPr>
            <w:r w:rsidRPr="00694326">
              <w:rPr>
                <w:rFonts w:ascii="Arial" w:hAnsi="Arial" w:cs="Arial"/>
                <w:sz w:val="20"/>
                <w:szCs w:val="20"/>
              </w:rPr>
              <w:t>(211)</w:t>
            </w:r>
          </w:p>
        </w:tc>
      </w:tr>
      <w:tr w:rsidR="00694326" w:rsidTr="00ED600C">
        <w:trPr>
          <w:trHeight w:val="283"/>
        </w:trPr>
        <w:tc>
          <w:tcPr>
            <w:tcW w:w="4644" w:type="dxa"/>
          </w:tcPr>
          <w:p w:rsidR="00694326" w:rsidRPr="00C15E0A" w:rsidRDefault="00694326" w:rsidP="007B4511">
            <w:pPr>
              <w:spacing w:after="0" w:line="240" w:lineRule="auto"/>
              <w:rPr>
                <w:rFonts w:ascii="Arial" w:hAnsi="Arial" w:cs="Arial"/>
                <w:sz w:val="20"/>
                <w:szCs w:val="20"/>
              </w:rPr>
            </w:pPr>
            <w:r>
              <w:rPr>
                <w:rFonts w:ascii="Arial" w:hAnsi="Arial" w:cs="Arial"/>
                <w:sz w:val="20"/>
                <w:szCs w:val="20"/>
              </w:rPr>
              <w:t xml:space="preserve">  </w:t>
            </w:r>
          </w:p>
        </w:tc>
        <w:tc>
          <w:tcPr>
            <w:tcW w:w="1701" w:type="dxa"/>
          </w:tcPr>
          <w:p w:rsidR="00694326" w:rsidRDefault="00694326" w:rsidP="00ED600C">
            <w:pPr>
              <w:spacing w:after="0" w:line="240" w:lineRule="auto"/>
              <w:jc w:val="right"/>
              <w:rPr>
                <w:rFonts w:ascii="Arial" w:hAnsi="Arial" w:cs="Arial"/>
                <w:b/>
                <w:sz w:val="20"/>
                <w:szCs w:val="20"/>
              </w:rPr>
            </w:pPr>
          </w:p>
        </w:tc>
        <w:tc>
          <w:tcPr>
            <w:tcW w:w="1701" w:type="dxa"/>
          </w:tcPr>
          <w:p w:rsidR="00694326" w:rsidRPr="00694326" w:rsidRDefault="00694326" w:rsidP="007B4511">
            <w:pPr>
              <w:spacing w:after="0" w:line="240" w:lineRule="auto"/>
              <w:jc w:val="right"/>
              <w:rPr>
                <w:rFonts w:ascii="Arial" w:hAnsi="Arial" w:cs="Arial"/>
                <w:sz w:val="20"/>
                <w:szCs w:val="20"/>
              </w:rPr>
            </w:pPr>
          </w:p>
        </w:tc>
      </w:tr>
    </w:tbl>
    <w:p w:rsidR="007B4511" w:rsidRDefault="007B4511" w:rsidP="007B4511">
      <w:pPr>
        <w:spacing w:after="0" w:line="240" w:lineRule="auto"/>
        <w:rPr>
          <w:rFonts w:ascii="Arial" w:hAnsi="Arial" w:cs="Arial"/>
          <w:b/>
          <w:sz w:val="20"/>
          <w:szCs w:val="20"/>
        </w:rPr>
      </w:pPr>
    </w:p>
    <w:p w:rsidR="00D620F9" w:rsidRPr="00CB361F" w:rsidRDefault="00D620F9" w:rsidP="00060DA7">
      <w:pPr>
        <w:spacing w:after="0" w:line="240" w:lineRule="auto"/>
        <w:jc w:val="both"/>
        <w:rPr>
          <w:rFonts w:ascii="Arial" w:hAnsi="Arial" w:cs="Arial"/>
          <w:sz w:val="20"/>
          <w:szCs w:val="20"/>
        </w:rPr>
      </w:pPr>
    </w:p>
    <w:p w:rsidR="00F0709E" w:rsidRPr="007B4511" w:rsidRDefault="007B4511" w:rsidP="00875418">
      <w:pPr>
        <w:rPr>
          <w:rFonts w:ascii="Arial" w:hAnsi="Arial" w:cs="Arial"/>
          <w:b/>
          <w:sz w:val="20"/>
          <w:szCs w:val="20"/>
        </w:rPr>
      </w:pPr>
      <w:r>
        <w:rPr>
          <w:rFonts w:ascii="Arial" w:hAnsi="Arial" w:cs="Arial"/>
          <w:b/>
          <w:sz w:val="20"/>
          <w:szCs w:val="20"/>
        </w:rPr>
        <w:t>4</w:t>
      </w:r>
      <w:r w:rsidR="002E5564">
        <w:rPr>
          <w:rFonts w:ascii="Arial" w:hAnsi="Arial" w:cs="Arial"/>
          <w:b/>
          <w:sz w:val="20"/>
          <w:szCs w:val="20"/>
        </w:rPr>
        <w:t xml:space="preserve">.   </w:t>
      </w:r>
      <w:r w:rsidR="00F0709E" w:rsidRPr="007B4511">
        <w:rPr>
          <w:rFonts w:ascii="Arial" w:hAnsi="Arial" w:cs="Arial"/>
          <w:b/>
          <w:sz w:val="20"/>
          <w:szCs w:val="20"/>
        </w:rPr>
        <w:t xml:space="preserve">Earnings per share </w:t>
      </w:r>
      <w:r w:rsidR="005309CC" w:rsidRPr="007B4511">
        <w:rPr>
          <w:rFonts w:ascii="Arial" w:hAnsi="Arial" w:cs="Arial"/>
          <w:b/>
          <w:sz w:val="20"/>
          <w:szCs w:val="20"/>
        </w:rPr>
        <w:t>on underlying profit</w:t>
      </w:r>
    </w:p>
    <w:p w:rsidR="007B4511" w:rsidRPr="007B4511" w:rsidRDefault="007B4511" w:rsidP="007B4511">
      <w:pPr>
        <w:tabs>
          <w:tab w:val="left" w:pos="5546"/>
          <w:tab w:val="left" w:pos="7096"/>
          <w:tab w:val="left" w:pos="8505"/>
          <w:tab w:val="left" w:pos="9813"/>
          <w:tab w:val="left" w:pos="10175"/>
          <w:tab w:val="left" w:pos="11845"/>
          <w:tab w:val="left" w:pos="13616"/>
        </w:tabs>
        <w:jc w:val="both"/>
        <w:rPr>
          <w:rFonts w:ascii="Arial" w:eastAsia="Times New Roman" w:hAnsi="Arial" w:cs="Arial"/>
          <w:color w:val="000000"/>
          <w:sz w:val="20"/>
          <w:szCs w:val="20"/>
          <w:lang w:eastAsia="en-GB"/>
        </w:rPr>
      </w:pPr>
      <w:r w:rsidRPr="007B4511">
        <w:rPr>
          <w:rFonts w:ascii="Arial" w:eastAsia="Times New Roman" w:hAnsi="Arial" w:cs="Arial"/>
          <w:b/>
          <w:bCs/>
          <w:i/>
          <w:iCs/>
          <w:color w:val="000000"/>
          <w:sz w:val="20"/>
          <w:szCs w:val="20"/>
          <w:lang w:eastAsia="en-GB"/>
        </w:rPr>
        <w:t>Earnings per share on underlying profit</w:t>
      </w:r>
    </w:p>
    <w:p w:rsidR="007B4511" w:rsidRPr="007B4511" w:rsidRDefault="007B4511" w:rsidP="007B4511">
      <w:pPr>
        <w:jc w:val="both"/>
        <w:rPr>
          <w:rFonts w:ascii="Arial" w:eastAsia="Times New Roman" w:hAnsi="Arial" w:cs="Arial"/>
          <w:color w:val="000000"/>
          <w:sz w:val="20"/>
          <w:szCs w:val="20"/>
          <w:lang w:eastAsia="en-GB"/>
        </w:rPr>
      </w:pPr>
      <w:r w:rsidRPr="007B4511">
        <w:rPr>
          <w:rFonts w:ascii="Arial" w:eastAsia="Times New Roman" w:hAnsi="Arial" w:cs="Arial"/>
          <w:color w:val="000000"/>
          <w:sz w:val="20"/>
          <w:szCs w:val="20"/>
          <w:lang w:eastAsia="en-GB"/>
        </w:rPr>
        <w:t>To provide a comparison of earnings per share on underlying performance, the table below sets out basic and diluted earnings per share based on profits after tax before amortisation ('underlying profit after tax'): </w:t>
      </w:r>
    </w:p>
    <w:tbl>
      <w:tblPr>
        <w:tblW w:w="7955" w:type="dxa"/>
        <w:tblInd w:w="-17" w:type="dxa"/>
        <w:tblLook w:val="04A0" w:firstRow="1" w:lastRow="0" w:firstColumn="1" w:lastColumn="0" w:noHBand="0" w:noVBand="1"/>
      </w:tblPr>
      <w:tblGrid>
        <w:gridCol w:w="4695"/>
        <w:gridCol w:w="1701"/>
        <w:gridCol w:w="1559"/>
      </w:tblGrid>
      <w:tr w:rsidR="000C5327" w:rsidRPr="007B4511" w:rsidTr="000C5327">
        <w:trPr>
          <w:trHeight w:val="558"/>
        </w:trPr>
        <w:tc>
          <w:tcPr>
            <w:tcW w:w="4695" w:type="dxa"/>
            <w:tcBorders>
              <w:top w:val="nil"/>
              <w:left w:val="nil"/>
              <w:right w:val="nil"/>
            </w:tcBorders>
            <w:shd w:val="clear" w:color="auto" w:fill="auto"/>
            <w:noWrap/>
            <w:vAlign w:val="bottom"/>
          </w:tcPr>
          <w:p w:rsidR="000C5327" w:rsidRPr="007B4511" w:rsidRDefault="000C5327" w:rsidP="007B4511">
            <w:pPr>
              <w:rPr>
                <w:rFonts w:ascii="Arial" w:eastAsia="Times New Roman" w:hAnsi="Arial" w:cs="Arial"/>
                <w:sz w:val="20"/>
                <w:szCs w:val="20"/>
                <w:lang w:eastAsia="en-GB"/>
              </w:rPr>
            </w:pPr>
          </w:p>
        </w:tc>
        <w:tc>
          <w:tcPr>
            <w:tcW w:w="1701" w:type="dxa"/>
            <w:tcBorders>
              <w:top w:val="nil"/>
              <w:left w:val="nil"/>
              <w:right w:val="nil"/>
            </w:tcBorders>
            <w:shd w:val="clear" w:color="auto" w:fill="auto"/>
            <w:noWrap/>
          </w:tcPr>
          <w:p w:rsidR="000C5327" w:rsidRPr="007B4511" w:rsidRDefault="000C5327" w:rsidP="007B4511">
            <w:pPr>
              <w:spacing w:after="0" w:line="240" w:lineRule="auto"/>
              <w:jc w:val="right"/>
              <w:rPr>
                <w:rFonts w:ascii="Arial" w:hAnsi="Arial" w:cs="Arial"/>
                <w:b/>
                <w:sz w:val="20"/>
                <w:szCs w:val="20"/>
              </w:rPr>
            </w:pPr>
            <w:r>
              <w:rPr>
                <w:rFonts w:ascii="Arial" w:hAnsi="Arial" w:cs="Arial"/>
                <w:b/>
                <w:sz w:val="20"/>
                <w:szCs w:val="20"/>
              </w:rPr>
              <w:t>2014</w:t>
            </w:r>
          </w:p>
          <w:p w:rsidR="000C5327" w:rsidRPr="007B4511" w:rsidRDefault="000C5327" w:rsidP="007B4511">
            <w:pPr>
              <w:spacing w:after="0" w:line="240" w:lineRule="auto"/>
              <w:jc w:val="right"/>
              <w:rPr>
                <w:rFonts w:ascii="Arial" w:hAnsi="Arial" w:cs="Arial"/>
                <w:b/>
                <w:sz w:val="20"/>
                <w:szCs w:val="20"/>
              </w:rPr>
            </w:pPr>
            <w:r w:rsidRPr="007B4511">
              <w:rPr>
                <w:rFonts w:ascii="Arial" w:hAnsi="Arial" w:cs="Arial"/>
                <w:b/>
                <w:sz w:val="20"/>
                <w:szCs w:val="20"/>
              </w:rPr>
              <w:t>£’000</w:t>
            </w:r>
          </w:p>
        </w:tc>
        <w:tc>
          <w:tcPr>
            <w:tcW w:w="1559" w:type="dxa"/>
            <w:tcBorders>
              <w:top w:val="nil"/>
              <w:left w:val="nil"/>
              <w:right w:val="nil"/>
            </w:tcBorders>
          </w:tcPr>
          <w:p w:rsidR="000C5327" w:rsidRPr="00694326" w:rsidRDefault="000C5327" w:rsidP="00ED600C">
            <w:pPr>
              <w:spacing w:after="0" w:line="240" w:lineRule="auto"/>
              <w:jc w:val="right"/>
              <w:rPr>
                <w:rFonts w:ascii="Arial" w:hAnsi="Arial" w:cs="Arial"/>
                <w:sz w:val="20"/>
                <w:szCs w:val="20"/>
              </w:rPr>
            </w:pPr>
            <w:r w:rsidRPr="00694326">
              <w:rPr>
                <w:rFonts w:ascii="Arial" w:hAnsi="Arial" w:cs="Arial"/>
                <w:sz w:val="20"/>
                <w:szCs w:val="20"/>
              </w:rPr>
              <w:t>2013</w:t>
            </w:r>
          </w:p>
          <w:p w:rsidR="000C5327" w:rsidRPr="00694326" w:rsidRDefault="000C5327" w:rsidP="00ED600C">
            <w:pPr>
              <w:spacing w:after="0" w:line="240" w:lineRule="auto"/>
              <w:jc w:val="right"/>
              <w:rPr>
                <w:rFonts w:ascii="Arial" w:hAnsi="Arial" w:cs="Arial"/>
                <w:sz w:val="20"/>
                <w:szCs w:val="20"/>
              </w:rPr>
            </w:pPr>
            <w:r w:rsidRPr="00694326">
              <w:rPr>
                <w:rFonts w:ascii="Arial" w:hAnsi="Arial" w:cs="Arial"/>
                <w:sz w:val="20"/>
                <w:szCs w:val="20"/>
              </w:rPr>
              <w:t>£’000</w:t>
            </w:r>
          </w:p>
        </w:tc>
      </w:tr>
      <w:tr w:rsidR="000C5327" w:rsidRPr="007B4511" w:rsidTr="00ED600C">
        <w:trPr>
          <w:trHeight w:val="300"/>
        </w:trPr>
        <w:tc>
          <w:tcPr>
            <w:tcW w:w="4695" w:type="dxa"/>
            <w:tcBorders>
              <w:left w:val="nil"/>
              <w:right w:val="nil"/>
            </w:tcBorders>
            <w:shd w:val="clear" w:color="auto" w:fill="auto"/>
            <w:noWrap/>
            <w:vAlign w:val="bottom"/>
          </w:tcPr>
          <w:p w:rsidR="000C5327" w:rsidRPr="007B4511" w:rsidRDefault="000C5327" w:rsidP="00ED600C">
            <w:pPr>
              <w:spacing w:after="0" w:line="240" w:lineRule="auto"/>
              <w:rPr>
                <w:rFonts w:ascii="Arial" w:hAnsi="Arial" w:cs="Arial"/>
                <w:sz w:val="20"/>
                <w:szCs w:val="20"/>
              </w:rPr>
            </w:pPr>
            <w:r w:rsidRPr="007B4511">
              <w:rPr>
                <w:rFonts w:ascii="Arial" w:hAnsi="Arial" w:cs="Arial"/>
                <w:sz w:val="20"/>
                <w:szCs w:val="20"/>
              </w:rPr>
              <w:t>Weighted average number of shares in issue</w:t>
            </w:r>
          </w:p>
        </w:tc>
        <w:tc>
          <w:tcPr>
            <w:tcW w:w="1701" w:type="dxa"/>
            <w:tcBorders>
              <w:left w:val="nil"/>
              <w:right w:val="nil"/>
            </w:tcBorders>
            <w:shd w:val="clear" w:color="auto" w:fill="auto"/>
            <w:noWrap/>
            <w:vAlign w:val="bottom"/>
          </w:tcPr>
          <w:p w:rsidR="000C5327" w:rsidRPr="007B4511" w:rsidRDefault="000C5327" w:rsidP="00ED600C">
            <w:pPr>
              <w:spacing w:after="0" w:line="240" w:lineRule="auto"/>
              <w:jc w:val="right"/>
              <w:rPr>
                <w:rFonts w:ascii="Arial" w:hAnsi="Arial" w:cs="Arial"/>
                <w:sz w:val="20"/>
                <w:szCs w:val="20"/>
              </w:rPr>
            </w:pPr>
            <w:r>
              <w:rPr>
                <w:rFonts w:ascii="Arial" w:hAnsi="Arial" w:cs="Arial"/>
                <w:sz w:val="20"/>
                <w:szCs w:val="20"/>
              </w:rPr>
              <w:t>12,431,623</w:t>
            </w:r>
          </w:p>
        </w:tc>
        <w:tc>
          <w:tcPr>
            <w:tcW w:w="1559" w:type="dxa"/>
            <w:tcBorders>
              <w:left w:val="nil"/>
              <w:right w:val="nil"/>
            </w:tcBorders>
            <w:vAlign w:val="bottom"/>
          </w:tcPr>
          <w:p w:rsidR="000C5327" w:rsidRPr="007B4511" w:rsidRDefault="000C5327" w:rsidP="00ED600C">
            <w:pPr>
              <w:spacing w:after="0" w:line="240" w:lineRule="auto"/>
              <w:jc w:val="right"/>
              <w:rPr>
                <w:rFonts w:ascii="Arial" w:hAnsi="Arial" w:cs="Arial"/>
                <w:sz w:val="20"/>
                <w:szCs w:val="20"/>
              </w:rPr>
            </w:pPr>
            <w:r>
              <w:rPr>
                <w:rFonts w:ascii="Arial" w:hAnsi="Arial" w:cs="Arial"/>
                <w:sz w:val="20"/>
                <w:szCs w:val="20"/>
              </w:rPr>
              <w:t>11,612,626</w:t>
            </w:r>
          </w:p>
        </w:tc>
      </w:tr>
      <w:tr w:rsidR="000C5327" w:rsidRPr="007B4511" w:rsidTr="000C5327">
        <w:trPr>
          <w:trHeight w:val="300"/>
        </w:trPr>
        <w:tc>
          <w:tcPr>
            <w:tcW w:w="4695" w:type="dxa"/>
            <w:tcBorders>
              <w:left w:val="nil"/>
              <w:right w:val="nil"/>
            </w:tcBorders>
            <w:shd w:val="clear" w:color="auto" w:fill="auto"/>
            <w:noWrap/>
            <w:vAlign w:val="bottom"/>
          </w:tcPr>
          <w:p w:rsidR="000C5327" w:rsidRPr="007B4511" w:rsidRDefault="000C5327" w:rsidP="00ED600C">
            <w:pPr>
              <w:spacing w:after="0" w:line="240" w:lineRule="auto"/>
              <w:rPr>
                <w:rFonts w:ascii="Arial" w:hAnsi="Arial" w:cs="Arial"/>
                <w:sz w:val="20"/>
                <w:szCs w:val="20"/>
              </w:rPr>
            </w:pPr>
            <w:r>
              <w:rPr>
                <w:rFonts w:ascii="Arial" w:hAnsi="Arial" w:cs="Arial"/>
                <w:sz w:val="20"/>
                <w:szCs w:val="20"/>
              </w:rPr>
              <w:t>Less: shares held in Treasury</w:t>
            </w:r>
          </w:p>
        </w:tc>
        <w:tc>
          <w:tcPr>
            <w:tcW w:w="1701" w:type="dxa"/>
            <w:tcBorders>
              <w:left w:val="nil"/>
              <w:right w:val="nil"/>
            </w:tcBorders>
            <w:shd w:val="clear" w:color="auto" w:fill="auto"/>
            <w:noWrap/>
            <w:vAlign w:val="bottom"/>
          </w:tcPr>
          <w:p w:rsidR="000C5327" w:rsidRPr="007B4511" w:rsidRDefault="000C5327" w:rsidP="007B4511">
            <w:pPr>
              <w:spacing w:after="0" w:line="240" w:lineRule="auto"/>
              <w:jc w:val="right"/>
              <w:rPr>
                <w:rFonts w:ascii="Arial" w:hAnsi="Arial" w:cs="Arial"/>
                <w:sz w:val="20"/>
                <w:szCs w:val="20"/>
              </w:rPr>
            </w:pPr>
            <w:r>
              <w:rPr>
                <w:rFonts w:ascii="Arial" w:hAnsi="Arial" w:cs="Arial"/>
                <w:sz w:val="20"/>
                <w:szCs w:val="20"/>
              </w:rPr>
              <w:t>(12,764)</w:t>
            </w:r>
          </w:p>
        </w:tc>
        <w:tc>
          <w:tcPr>
            <w:tcW w:w="1559" w:type="dxa"/>
            <w:tcBorders>
              <w:left w:val="nil"/>
              <w:right w:val="nil"/>
            </w:tcBorders>
            <w:vAlign w:val="bottom"/>
          </w:tcPr>
          <w:p w:rsidR="000C5327" w:rsidRPr="007B4511" w:rsidRDefault="00694326" w:rsidP="00ED600C">
            <w:pPr>
              <w:spacing w:after="0" w:line="240" w:lineRule="auto"/>
              <w:jc w:val="right"/>
              <w:rPr>
                <w:rFonts w:ascii="Arial" w:hAnsi="Arial" w:cs="Arial"/>
                <w:sz w:val="20"/>
                <w:szCs w:val="20"/>
              </w:rPr>
            </w:pPr>
            <w:r>
              <w:rPr>
                <w:rFonts w:ascii="Arial" w:hAnsi="Arial" w:cs="Arial"/>
                <w:sz w:val="20"/>
                <w:szCs w:val="20"/>
              </w:rPr>
              <w:t>-</w:t>
            </w:r>
          </w:p>
        </w:tc>
      </w:tr>
      <w:tr w:rsidR="000C5327" w:rsidRPr="007B4511" w:rsidTr="000C5327">
        <w:trPr>
          <w:trHeight w:val="300"/>
        </w:trPr>
        <w:tc>
          <w:tcPr>
            <w:tcW w:w="4695" w:type="dxa"/>
            <w:tcBorders>
              <w:left w:val="nil"/>
              <w:bottom w:val="single" w:sz="4" w:space="0" w:color="auto"/>
              <w:right w:val="nil"/>
            </w:tcBorders>
            <w:shd w:val="clear" w:color="auto" w:fill="auto"/>
            <w:noWrap/>
            <w:vAlign w:val="bottom"/>
          </w:tcPr>
          <w:p w:rsidR="000C5327" w:rsidRPr="007B4511" w:rsidRDefault="000C5327" w:rsidP="007B4511">
            <w:pPr>
              <w:spacing w:after="0" w:line="240" w:lineRule="auto"/>
              <w:rPr>
                <w:rFonts w:ascii="Arial" w:hAnsi="Arial" w:cs="Arial"/>
                <w:sz w:val="20"/>
                <w:szCs w:val="20"/>
              </w:rPr>
            </w:pPr>
            <w:r>
              <w:rPr>
                <w:rFonts w:ascii="Arial" w:hAnsi="Arial" w:cs="Arial"/>
                <w:sz w:val="20"/>
                <w:szCs w:val="20"/>
              </w:rPr>
              <w:t>Less: shares owned by</w:t>
            </w:r>
            <w:r w:rsidRPr="007B4511">
              <w:rPr>
                <w:rFonts w:ascii="Arial" w:hAnsi="Arial" w:cs="Arial"/>
                <w:sz w:val="20"/>
                <w:szCs w:val="20"/>
              </w:rPr>
              <w:t xml:space="preserve"> the ESOP</w:t>
            </w:r>
          </w:p>
        </w:tc>
        <w:tc>
          <w:tcPr>
            <w:tcW w:w="1701" w:type="dxa"/>
            <w:tcBorders>
              <w:left w:val="nil"/>
              <w:bottom w:val="single" w:sz="4" w:space="0" w:color="auto"/>
              <w:right w:val="nil"/>
            </w:tcBorders>
            <w:shd w:val="clear" w:color="auto" w:fill="auto"/>
            <w:noWrap/>
            <w:vAlign w:val="bottom"/>
          </w:tcPr>
          <w:p w:rsidR="000C5327" w:rsidRPr="007B4511" w:rsidRDefault="000C5327" w:rsidP="007B4511">
            <w:pPr>
              <w:spacing w:after="0" w:line="240" w:lineRule="auto"/>
              <w:jc w:val="right"/>
              <w:rPr>
                <w:rFonts w:ascii="Arial" w:hAnsi="Arial" w:cs="Arial"/>
                <w:sz w:val="20"/>
                <w:szCs w:val="20"/>
              </w:rPr>
            </w:pPr>
            <w:r>
              <w:rPr>
                <w:rFonts w:ascii="Arial" w:hAnsi="Arial" w:cs="Arial"/>
                <w:sz w:val="20"/>
                <w:szCs w:val="20"/>
              </w:rPr>
              <w:t>(37,785</w:t>
            </w:r>
            <w:r w:rsidRPr="007B4511">
              <w:rPr>
                <w:rFonts w:ascii="Arial" w:hAnsi="Arial" w:cs="Arial"/>
                <w:sz w:val="20"/>
                <w:szCs w:val="20"/>
              </w:rPr>
              <w:t>)</w:t>
            </w:r>
          </w:p>
        </w:tc>
        <w:tc>
          <w:tcPr>
            <w:tcW w:w="1559" w:type="dxa"/>
            <w:tcBorders>
              <w:left w:val="nil"/>
              <w:bottom w:val="single" w:sz="4" w:space="0" w:color="auto"/>
              <w:right w:val="nil"/>
            </w:tcBorders>
            <w:vAlign w:val="bottom"/>
          </w:tcPr>
          <w:p w:rsidR="000C5327" w:rsidRPr="007B4511" w:rsidRDefault="000C5327" w:rsidP="00ED600C">
            <w:pPr>
              <w:spacing w:after="0" w:line="240" w:lineRule="auto"/>
              <w:jc w:val="right"/>
              <w:rPr>
                <w:rFonts w:ascii="Arial" w:hAnsi="Arial" w:cs="Arial"/>
                <w:sz w:val="20"/>
                <w:szCs w:val="20"/>
              </w:rPr>
            </w:pPr>
            <w:r>
              <w:rPr>
                <w:rFonts w:ascii="Arial" w:hAnsi="Arial" w:cs="Arial"/>
                <w:sz w:val="20"/>
                <w:szCs w:val="20"/>
              </w:rPr>
              <w:t>(38,364</w:t>
            </w:r>
            <w:r w:rsidRPr="007B4511">
              <w:rPr>
                <w:rFonts w:ascii="Arial" w:hAnsi="Arial" w:cs="Arial"/>
                <w:sz w:val="20"/>
                <w:szCs w:val="20"/>
              </w:rPr>
              <w:t>)</w:t>
            </w:r>
          </w:p>
        </w:tc>
      </w:tr>
      <w:tr w:rsidR="000C5327" w:rsidRPr="007B4511" w:rsidTr="000C5327">
        <w:trPr>
          <w:trHeight w:val="300"/>
        </w:trPr>
        <w:tc>
          <w:tcPr>
            <w:tcW w:w="4695" w:type="dxa"/>
            <w:tcBorders>
              <w:top w:val="single" w:sz="4" w:space="0" w:color="auto"/>
              <w:left w:val="nil"/>
              <w:right w:val="nil"/>
            </w:tcBorders>
            <w:shd w:val="clear" w:color="auto" w:fill="auto"/>
            <w:noWrap/>
            <w:vAlign w:val="bottom"/>
          </w:tcPr>
          <w:p w:rsidR="000C5327" w:rsidRPr="007B4511" w:rsidRDefault="000C5327" w:rsidP="007B4511">
            <w:pPr>
              <w:spacing w:after="0" w:line="240" w:lineRule="auto"/>
              <w:rPr>
                <w:rFonts w:ascii="Arial" w:hAnsi="Arial" w:cs="Arial"/>
                <w:sz w:val="20"/>
                <w:szCs w:val="20"/>
              </w:rPr>
            </w:pPr>
            <w:r w:rsidRPr="007B4511">
              <w:rPr>
                <w:rFonts w:ascii="Arial" w:hAnsi="Arial" w:cs="Arial"/>
                <w:sz w:val="20"/>
                <w:szCs w:val="20"/>
              </w:rPr>
              <w:t>Average number of shares in issue excluding the ESOP</w:t>
            </w:r>
          </w:p>
        </w:tc>
        <w:tc>
          <w:tcPr>
            <w:tcW w:w="1701" w:type="dxa"/>
            <w:tcBorders>
              <w:top w:val="single" w:sz="4" w:space="0" w:color="auto"/>
              <w:left w:val="nil"/>
              <w:right w:val="nil"/>
            </w:tcBorders>
            <w:shd w:val="clear" w:color="auto" w:fill="auto"/>
            <w:noWrap/>
            <w:vAlign w:val="bottom"/>
          </w:tcPr>
          <w:p w:rsidR="000C5327" w:rsidRPr="007B4511" w:rsidRDefault="000C5327" w:rsidP="007B4511">
            <w:pPr>
              <w:spacing w:after="0" w:line="240" w:lineRule="auto"/>
              <w:jc w:val="right"/>
              <w:rPr>
                <w:rFonts w:ascii="Arial" w:hAnsi="Arial" w:cs="Arial"/>
                <w:sz w:val="20"/>
                <w:szCs w:val="20"/>
              </w:rPr>
            </w:pPr>
            <w:r>
              <w:rPr>
                <w:rFonts w:ascii="Arial" w:hAnsi="Arial" w:cs="Arial"/>
                <w:sz w:val="20"/>
                <w:szCs w:val="20"/>
              </w:rPr>
              <w:t>12,381,074</w:t>
            </w:r>
          </w:p>
        </w:tc>
        <w:tc>
          <w:tcPr>
            <w:tcW w:w="1559" w:type="dxa"/>
            <w:tcBorders>
              <w:top w:val="single" w:sz="4" w:space="0" w:color="auto"/>
              <w:left w:val="nil"/>
              <w:right w:val="nil"/>
            </w:tcBorders>
            <w:vAlign w:val="bottom"/>
          </w:tcPr>
          <w:p w:rsidR="000C5327" w:rsidRPr="007B4511" w:rsidRDefault="000C5327" w:rsidP="00ED600C">
            <w:pPr>
              <w:spacing w:after="0" w:line="240" w:lineRule="auto"/>
              <w:jc w:val="right"/>
              <w:rPr>
                <w:rFonts w:ascii="Arial" w:hAnsi="Arial" w:cs="Arial"/>
                <w:sz w:val="20"/>
                <w:szCs w:val="20"/>
              </w:rPr>
            </w:pPr>
            <w:r>
              <w:rPr>
                <w:rFonts w:ascii="Arial" w:hAnsi="Arial" w:cs="Arial"/>
                <w:sz w:val="20"/>
                <w:szCs w:val="20"/>
              </w:rPr>
              <w:t>11,574,262</w:t>
            </w:r>
          </w:p>
        </w:tc>
      </w:tr>
      <w:tr w:rsidR="000C5327" w:rsidRPr="007B4511" w:rsidTr="000C5327">
        <w:trPr>
          <w:trHeight w:val="300"/>
        </w:trPr>
        <w:tc>
          <w:tcPr>
            <w:tcW w:w="4695" w:type="dxa"/>
            <w:tcBorders>
              <w:top w:val="nil"/>
              <w:left w:val="nil"/>
              <w:bottom w:val="single" w:sz="4" w:space="0" w:color="auto"/>
              <w:right w:val="nil"/>
            </w:tcBorders>
            <w:shd w:val="clear" w:color="auto" w:fill="auto"/>
            <w:noWrap/>
            <w:vAlign w:val="bottom"/>
          </w:tcPr>
          <w:p w:rsidR="000C5327" w:rsidRPr="007B4511" w:rsidRDefault="000C5327" w:rsidP="007B4511">
            <w:pPr>
              <w:spacing w:after="0" w:line="240" w:lineRule="auto"/>
              <w:rPr>
                <w:rFonts w:ascii="Arial" w:hAnsi="Arial" w:cs="Arial"/>
                <w:sz w:val="20"/>
                <w:szCs w:val="20"/>
              </w:rPr>
            </w:pPr>
            <w:r w:rsidRPr="007B4511">
              <w:rPr>
                <w:rFonts w:ascii="Arial" w:hAnsi="Arial" w:cs="Arial"/>
                <w:sz w:val="20"/>
                <w:szCs w:val="20"/>
              </w:rPr>
              <w:t>Maximum dilution with regards to share options</w:t>
            </w:r>
          </w:p>
        </w:tc>
        <w:tc>
          <w:tcPr>
            <w:tcW w:w="1701" w:type="dxa"/>
            <w:tcBorders>
              <w:top w:val="nil"/>
              <w:left w:val="nil"/>
              <w:bottom w:val="single" w:sz="4" w:space="0" w:color="auto"/>
              <w:right w:val="nil"/>
            </w:tcBorders>
            <w:shd w:val="clear" w:color="auto" w:fill="auto"/>
            <w:noWrap/>
            <w:vAlign w:val="bottom"/>
          </w:tcPr>
          <w:p w:rsidR="000C5327" w:rsidRPr="007B4511" w:rsidRDefault="000C5327" w:rsidP="007B4511">
            <w:pPr>
              <w:spacing w:after="0" w:line="240" w:lineRule="auto"/>
              <w:jc w:val="right"/>
              <w:rPr>
                <w:rFonts w:ascii="Arial" w:hAnsi="Arial" w:cs="Arial"/>
                <w:sz w:val="20"/>
                <w:szCs w:val="20"/>
              </w:rPr>
            </w:pPr>
            <w:r>
              <w:rPr>
                <w:rFonts w:ascii="Arial" w:hAnsi="Arial" w:cs="Arial"/>
                <w:sz w:val="20"/>
                <w:szCs w:val="20"/>
              </w:rPr>
              <w:t>79,911</w:t>
            </w:r>
          </w:p>
        </w:tc>
        <w:tc>
          <w:tcPr>
            <w:tcW w:w="1559" w:type="dxa"/>
            <w:tcBorders>
              <w:top w:val="nil"/>
              <w:left w:val="nil"/>
              <w:bottom w:val="single" w:sz="4" w:space="0" w:color="auto"/>
              <w:right w:val="nil"/>
            </w:tcBorders>
            <w:vAlign w:val="bottom"/>
          </w:tcPr>
          <w:p w:rsidR="000C5327" w:rsidRPr="007B4511" w:rsidRDefault="000C5327" w:rsidP="00ED600C">
            <w:pPr>
              <w:spacing w:after="0" w:line="240" w:lineRule="auto"/>
              <w:jc w:val="right"/>
              <w:rPr>
                <w:rFonts w:ascii="Arial" w:hAnsi="Arial" w:cs="Arial"/>
                <w:sz w:val="20"/>
                <w:szCs w:val="20"/>
              </w:rPr>
            </w:pPr>
            <w:r>
              <w:rPr>
                <w:rFonts w:ascii="Arial" w:hAnsi="Arial" w:cs="Arial"/>
                <w:sz w:val="20"/>
                <w:szCs w:val="20"/>
              </w:rPr>
              <w:t>129,600</w:t>
            </w:r>
          </w:p>
        </w:tc>
      </w:tr>
      <w:tr w:rsidR="000C5327" w:rsidRPr="007B4511" w:rsidTr="000C5327">
        <w:trPr>
          <w:trHeight w:val="315"/>
        </w:trPr>
        <w:tc>
          <w:tcPr>
            <w:tcW w:w="4695" w:type="dxa"/>
            <w:tcBorders>
              <w:top w:val="single" w:sz="4" w:space="0" w:color="auto"/>
              <w:left w:val="nil"/>
              <w:bottom w:val="double" w:sz="6" w:space="0" w:color="auto"/>
              <w:right w:val="nil"/>
            </w:tcBorders>
            <w:shd w:val="clear" w:color="auto" w:fill="auto"/>
            <w:noWrap/>
            <w:vAlign w:val="bottom"/>
          </w:tcPr>
          <w:p w:rsidR="000C5327" w:rsidRPr="007B4511" w:rsidRDefault="000C5327" w:rsidP="007B4511">
            <w:pPr>
              <w:spacing w:after="0" w:line="240" w:lineRule="auto"/>
              <w:rPr>
                <w:rFonts w:ascii="Arial" w:hAnsi="Arial" w:cs="Arial"/>
                <w:sz w:val="20"/>
                <w:szCs w:val="20"/>
              </w:rPr>
            </w:pPr>
            <w:r w:rsidRPr="007B4511">
              <w:rPr>
                <w:rFonts w:ascii="Arial" w:hAnsi="Arial" w:cs="Arial"/>
                <w:sz w:val="20"/>
                <w:szCs w:val="20"/>
              </w:rPr>
              <w:t>Diluted weighted average number of shares</w:t>
            </w:r>
          </w:p>
        </w:tc>
        <w:tc>
          <w:tcPr>
            <w:tcW w:w="1701" w:type="dxa"/>
            <w:tcBorders>
              <w:top w:val="single" w:sz="4" w:space="0" w:color="auto"/>
              <w:left w:val="nil"/>
              <w:bottom w:val="double" w:sz="6" w:space="0" w:color="auto"/>
              <w:right w:val="nil"/>
            </w:tcBorders>
            <w:shd w:val="clear" w:color="auto" w:fill="auto"/>
            <w:noWrap/>
            <w:vAlign w:val="bottom"/>
          </w:tcPr>
          <w:p w:rsidR="000C5327" w:rsidRPr="007B4511" w:rsidRDefault="000C5327" w:rsidP="007B4511">
            <w:pPr>
              <w:spacing w:after="0" w:line="240" w:lineRule="auto"/>
              <w:jc w:val="right"/>
              <w:rPr>
                <w:rFonts w:ascii="Arial" w:hAnsi="Arial" w:cs="Arial"/>
                <w:sz w:val="20"/>
                <w:szCs w:val="20"/>
              </w:rPr>
            </w:pPr>
            <w:r>
              <w:rPr>
                <w:rFonts w:ascii="Arial" w:hAnsi="Arial" w:cs="Arial"/>
                <w:sz w:val="20"/>
                <w:szCs w:val="20"/>
              </w:rPr>
              <w:t>12,460,985</w:t>
            </w:r>
          </w:p>
        </w:tc>
        <w:tc>
          <w:tcPr>
            <w:tcW w:w="1559" w:type="dxa"/>
            <w:tcBorders>
              <w:top w:val="single" w:sz="4" w:space="0" w:color="auto"/>
              <w:left w:val="nil"/>
              <w:bottom w:val="double" w:sz="6" w:space="0" w:color="auto"/>
              <w:right w:val="nil"/>
            </w:tcBorders>
            <w:vAlign w:val="bottom"/>
          </w:tcPr>
          <w:p w:rsidR="000C5327" w:rsidRPr="007B4511" w:rsidRDefault="000C5327" w:rsidP="00ED600C">
            <w:pPr>
              <w:spacing w:after="0" w:line="240" w:lineRule="auto"/>
              <w:jc w:val="right"/>
              <w:rPr>
                <w:rFonts w:ascii="Arial" w:hAnsi="Arial" w:cs="Arial"/>
                <w:sz w:val="20"/>
                <w:szCs w:val="20"/>
              </w:rPr>
            </w:pPr>
            <w:r>
              <w:rPr>
                <w:rFonts w:ascii="Arial" w:hAnsi="Arial" w:cs="Arial"/>
                <w:sz w:val="20"/>
                <w:szCs w:val="20"/>
              </w:rPr>
              <w:t>11,703,862</w:t>
            </w:r>
          </w:p>
        </w:tc>
      </w:tr>
    </w:tbl>
    <w:p w:rsidR="007B4511" w:rsidRDefault="007B4511" w:rsidP="007B4511">
      <w:pPr>
        <w:tabs>
          <w:tab w:val="left" w:pos="8505"/>
          <w:tab w:val="left" w:pos="9813"/>
          <w:tab w:val="left" w:pos="10175"/>
          <w:tab w:val="left" w:pos="11845"/>
          <w:tab w:val="left" w:pos="13616"/>
        </w:tabs>
        <w:spacing w:after="0" w:line="240" w:lineRule="auto"/>
        <w:jc w:val="both"/>
        <w:rPr>
          <w:rFonts w:ascii="Arial" w:eastAsia="Times New Roman" w:hAnsi="Arial" w:cs="Arial"/>
          <w:color w:val="000000"/>
          <w:sz w:val="20"/>
          <w:szCs w:val="20"/>
          <w:lang w:eastAsia="en-GB"/>
        </w:rPr>
      </w:pPr>
    </w:p>
    <w:p w:rsidR="007B4511" w:rsidRPr="007B4511" w:rsidRDefault="007B4511" w:rsidP="007B4511">
      <w:pPr>
        <w:tabs>
          <w:tab w:val="left" w:pos="8505"/>
          <w:tab w:val="left" w:pos="9813"/>
          <w:tab w:val="left" w:pos="10175"/>
          <w:tab w:val="left" w:pos="11845"/>
          <w:tab w:val="left" w:pos="13616"/>
        </w:tabs>
        <w:spacing w:after="0" w:line="240" w:lineRule="auto"/>
        <w:jc w:val="both"/>
        <w:rPr>
          <w:rFonts w:ascii="Arial" w:eastAsia="Times New Roman" w:hAnsi="Arial" w:cs="Arial"/>
          <w:color w:val="000000"/>
          <w:sz w:val="20"/>
          <w:szCs w:val="20"/>
          <w:lang w:eastAsia="en-GB"/>
        </w:rPr>
      </w:pPr>
    </w:p>
    <w:tbl>
      <w:tblPr>
        <w:tblW w:w="8097" w:type="dxa"/>
        <w:tblInd w:w="-17" w:type="dxa"/>
        <w:tblLook w:val="04A0" w:firstRow="1" w:lastRow="0" w:firstColumn="1" w:lastColumn="0" w:noHBand="0" w:noVBand="1"/>
      </w:tblPr>
      <w:tblGrid>
        <w:gridCol w:w="4695"/>
        <w:gridCol w:w="1701"/>
        <w:gridCol w:w="1701"/>
      </w:tblGrid>
      <w:tr w:rsidR="000C5327" w:rsidRPr="007B4511" w:rsidTr="000C5327">
        <w:trPr>
          <w:trHeight w:val="431"/>
        </w:trPr>
        <w:tc>
          <w:tcPr>
            <w:tcW w:w="4695" w:type="dxa"/>
            <w:tcBorders>
              <w:top w:val="nil"/>
              <w:left w:val="nil"/>
              <w:right w:val="nil"/>
            </w:tcBorders>
            <w:shd w:val="clear" w:color="auto" w:fill="auto"/>
            <w:noWrap/>
            <w:vAlign w:val="bottom"/>
          </w:tcPr>
          <w:p w:rsidR="000C5327" w:rsidRPr="007B4511" w:rsidRDefault="000C5327" w:rsidP="007B4511">
            <w:pPr>
              <w:rPr>
                <w:rFonts w:ascii="Arial" w:eastAsia="Times New Roman" w:hAnsi="Arial" w:cs="Arial"/>
                <w:sz w:val="20"/>
                <w:szCs w:val="20"/>
                <w:lang w:eastAsia="en-GB"/>
              </w:rPr>
            </w:pPr>
          </w:p>
        </w:tc>
        <w:tc>
          <w:tcPr>
            <w:tcW w:w="1701" w:type="dxa"/>
            <w:tcBorders>
              <w:top w:val="nil"/>
              <w:left w:val="nil"/>
              <w:right w:val="nil"/>
            </w:tcBorders>
          </w:tcPr>
          <w:p w:rsidR="000C5327" w:rsidRPr="007B4511" w:rsidRDefault="000C5327" w:rsidP="00ED600C">
            <w:pPr>
              <w:spacing w:after="0" w:line="240" w:lineRule="auto"/>
              <w:jc w:val="right"/>
              <w:rPr>
                <w:rFonts w:ascii="Arial" w:hAnsi="Arial" w:cs="Arial"/>
                <w:b/>
                <w:sz w:val="20"/>
                <w:szCs w:val="20"/>
              </w:rPr>
            </w:pPr>
            <w:r>
              <w:rPr>
                <w:rFonts w:ascii="Arial" w:hAnsi="Arial" w:cs="Arial"/>
                <w:b/>
                <w:sz w:val="20"/>
                <w:szCs w:val="20"/>
              </w:rPr>
              <w:t>2014</w:t>
            </w:r>
          </w:p>
          <w:p w:rsidR="000C5327" w:rsidRPr="007B4511" w:rsidRDefault="000C5327" w:rsidP="00ED600C">
            <w:pPr>
              <w:spacing w:after="0" w:line="240" w:lineRule="auto"/>
              <w:jc w:val="right"/>
              <w:rPr>
                <w:rFonts w:ascii="Arial" w:hAnsi="Arial" w:cs="Arial"/>
                <w:b/>
                <w:sz w:val="20"/>
                <w:szCs w:val="20"/>
              </w:rPr>
            </w:pPr>
            <w:r w:rsidRPr="007B4511">
              <w:rPr>
                <w:rFonts w:ascii="Arial" w:hAnsi="Arial" w:cs="Arial"/>
                <w:b/>
                <w:sz w:val="20"/>
                <w:szCs w:val="20"/>
              </w:rPr>
              <w:t>£’000</w:t>
            </w:r>
          </w:p>
        </w:tc>
        <w:tc>
          <w:tcPr>
            <w:tcW w:w="1701" w:type="dxa"/>
            <w:tcBorders>
              <w:top w:val="nil"/>
              <w:left w:val="nil"/>
              <w:right w:val="nil"/>
            </w:tcBorders>
            <w:shd w:val="clear" w:color="auto" w:fill="auto"/>
            <w:noWrap/>
          </w:tcPr>
          <w:p w:rsidR="000C5327" w:rsidRPr="00694326" w:rsidRDefault="000C5327" w:rsidP="007B4511">
            <w:pPr>
              <w:spacing w:after="0" w:line="240" w:lineRule="auto"/>
              <w:jc w:val="right"/>
              <w:rPr>
                <w:rFonts w:ascii="Arial" w:hAnsi="Arial" w:cs="Arial"/>
                <w:sz w:val="20"/>
                <w:szCs w:val="20"/>
              </w:rPr>
            </w:pPr>
            <w:r w:rsidRPr="00694326">
              <w:rPr>
                <w:rFonts w:ascii="Arial" w:hAnsi="Arial" w:cs="Arial"/>
                <w:sz w:val="20"/>
                <w:szCs w:val="20"/>
              </w:rPr>
              <w:t>2013</w:t>
            </w:r>
          </w:p>
          <w:p w:rsidR="000C5327" w:rsidRPr="007B4511" w:rsidRDefault="000C5327" w:rsidP="007B4511">
            <w:pPr>
              <w:spacing w:after="0" w:line="240" w:lineRule="auto"/>
              <w:jc w:val="right"/>
              <w:rPr>
                <w:rFonts w:ascii="Arial" w:hAnsi="Arial" w:cs="Arial"/>
                <w:b/>
                <w:sz w:val="20"/>
                <w:szCs w:val="20"/>
              </w:rPr>
            </w:pPr>
            <w:r w:rsidRPr="00694326">
              <w:rPr>
                <w:rFonts w:ascii="Arial" w:hAnsi="Arial" w:cs="Arial"/>
                <w:sz w:val="20"/>
                <w:szCs w:val="20"/>
              </w:rPr>
              <w:t>£’000</w:t>
            </w:r>
          </w:p>
        </w:tc>
      </w:tr>
      <w:tr w:rsidR="000C5327" w:rsidRPr="007B4511" w:rsidTr="000C5327">
        <w:trPr>
          <w:trHeight w:val="300"/>
        </w:trPr>
        <w:tc>
          <w:tcPr>
            <w:tcW w:w="4695" w:type="dxa"/>
            <w:tcBorders>
              <w:top w:val="single" w:sz="4" w:space="0" w:color="auto"/>
              <w:left w:val="nil"/>
              <w:right w:val="nil"/>
            </w:tcBorders>
            <w:shd w:val="clear" w:color="auto" w:fill="auto"/>
            <w:noWrap/>
            <w:vAlign w:val="bottom"/>
          </w:tcPr>
          <w:p w:rsidR="000C5327" w:rsidRPr="007B4511" w:rsidRDefault="000C5327" w:rsidP="007B4511">
            <w:pPr>
              <w:spacing w:after="0" w:line="240" w:lineRule="auto"/>
              <w:rPr>
                <w:rFonts w:ascii="Arial" w:hAnsi="Arial" w:cs="Arial"/>
                <w:sz w:val="20"/>
                <w:szCs w:val="20"/>
              </w:rPr>
            </w:pPr>
            <w:r w:rsidRPr="00BA2C5D">
              <w:rPr>
                <w:rFonts w:eastAsia="Times New Roman"/>
                <w:b/>
                <w:bCs/>
                <w:color w:val="000000"/>
                <w:lang w:eastAsia="en-GB"/>
              </w:rPr>
              <w:t>Underlying profit before tax</w:t>
            </w:r>
          </w:p>
        </w:tc>
        <w:tc>
          <w:tcPr>
            <w:tcW w:w="1701" w:type="dxa"/>
            <w:tcBorders>
              <w:top w:val="single" w:sz="4" w:space="0" w:color="auto"/>
              <w:left w:val="nil"/>
              <w:right w:val="nil"/>
            </w:tcBorders>
            <w:vAlign w:val="bottom"/>
          </w:tcPr>
          <w:p w:rsidR="000C5327" w:rsidRPr="007B4511" w:rsidRDefault="000C5327" w:rsidP="00ED600C">
            <w:pPr>
              <w:spacing w:after="0" w:line="240" w:lineRule="auto"/>
              <w:jc w:val="right"/>
              <w:rPr>
                <w:rFonts w:ascii="Arial" w:hAnsi="Arial" w:cs="Arial"/>
                <w:sz w:val="20"/>
                <w:szCs w:val="20"/>
              </w:rPr>
            </w:pPr>
            <w:r>
              <w:rPr>
                <w:rFonts w:ascii="Arial" w:hAnsi="Arial" w:cs="Arial"/>
                <w:sz w:val="20"/>
                <w:szCs w:val="20"/>
              </w:rPr>
              <w:t>3,647</w:t>
            </w:r>
          </w:p>
        </w:tc>
        <w:tc>
          <w:tcPr>
            <w:tcW w:w="1701" w:type="dxa"/>
            <w:tcBorders>
              <w:top w:val="single" w:sz="4" w:space="0" w:color="auto"/>
              <w:left w:val="nil"/>
              <w:right w:val="nil"/>
            </w:tcBorders>
            <w:shd w:val="clear" w:color="auto" w:fill="auto"/>
            <w:noWrap/>
            <w:vAlign w:val="bottom"/>
          </w:tcPr>
          <w:p w:rsidR="000C5327" w:rsidRPr="007B4511" w:rsidRDefault="000C5327" w:rsidP="007B4511">
            <w:pPr>
              <w:spacing w:after="0" w:line="240" w:lineRule="auto"/>
              <w:jc w:val="right"/>
              <w:rPr>
                <w:rFonts w:ascii="Arial" w:hAnsi="Arial" w:cs="Arial"/>
                <w:sz w:val="20"/>
                <w:szCs w:val="20"/>
              </w:rPr>
            </w:pPr>
            <w:r>
              <w:rPr>
                <w:rFonts w:ascii="Arial" w:hAnsi="Arial" w:cs="Arial"/>
                <w:sz w:val="20"/>
                <w:szCs w:val="20"/>
              </w:rPr>
              <w:t>3,291</w:t>
            </w:r>
          </w:p>
        </w:tc>
      </w:tr>
      <w:tr w:rsidR="000C5327" w:rsidRPr="007B4511" w:rsidTr="000C5327">
        <w:trPr>
          <w:trHeight w:val="300"/>
        </w:trPr>
        <w:tc>
          <w:tcPr>
            <w:tcW w:w="4695" w:type="dxa"/>
            <w:tcBorders>
              <w:top w:val="nil"/>
              <w:left w:val="nil"/>
              <w:right w:val="nil"/>
            </w:tcBorders>
            <w:shd w:val="clear" w:color="auto" w:fill="auto"/>
            <w:noWrap/>
            <w:vAlign w:val="bottom"/>
          </w:tcPr>
          <w:p w:rsidR="000C5327" w:rsidRPr="007B4511" w:rsidRDefault="000C5327" w:rsidP="007B4511">
            <w:pPr>
              <w:spacing w:after="0" w:line="240" w:lineRule="auto"/>
              <w:rPr>
                <w:rFonts w:ascii="Arial" w:hAnsi="Arial" w:cs="Arial"/>
                <w:sz w:val="20"/>
                <w:szCs w:val="20"/>
              </w:rPr>
            </w:pPr>
            <w:r>
              <w:rPr>
                <w:rFonts w:ascii="Arial" w:hAnsi="Arial" w:cs="Arial"/>
                <w:sz w:val="20"/>
                <w:szCs w:val="20"/>
              </w:rPr>
              <w:t>Tax thereon</w:t>
            </w:r>
          </w:p>
        </w:tc>
        <w:tc>
          <w:tcPr>
            <w:tcW w:w="1701" w:type="dxa"/>
            <w:tcBorders>
              <w:top w:val="nil"/>
              <w:left w:val="nil"/>
              <w:right w:val="nil"/>
            </w:tcBorders>
            <w:vAlign w:val="bottom"/>
          </w:tcPr>
          <w:p w:rsidR="000C5327" w:rsidRPr="007B4511" w:rsidRDefault="000C5327" w:rsidP="00ED600C">
            <w:pPr>
              <w:spacing w:after="0" w:line="240" w:lineRule="auto"/>
              <w:jc w:val="right"/>
              <w:rPr>
                <w:rFonts w:ascii="Arial" w:hAnsi="Arial" w:cs="Arial"/>
                <w:sz w:val="20"/>
                <w:szCs w:val="20"/>
              </w:rPr>
            </w:pPr>
            <w:r>
              <w:rPr>
                <w:rFonts w:ascii="Arial" w:hAnsi="Arial" w:cs="Arial"/>
                <w:sz w:val="20"/>
                <w:szCs w:val="20"/>
              </w:rPr>
              <w:t>(</w:t>
            </w:r>
            <w:r w:rsidR="002042FF">
              <w:rPr>
                <w:rFonts w:ascii="Arial" w:hAnsi="Arial" w:cs="Arial"/>
                <w:sz w:val="20"/>
                <w:szCs w:val="20"/>
              </w:rPr>
              <w:t>901</w:t>
            </w:r>
            <w:r>
              <w:rPr>
                <w:rFonts w:ascii="Arial" w:hAnsi="Arial" w:cs="Arial"/>
                <w:sz w:val="20"/>
                <w:szCs w:val="20"/>
              </w:rPr>
              <w:t>)</w:t>
            </w:r>
          </w:p>
        </w:tc>
        <w:tc>
          <w:tcPr>
            <w:tcW w:w="1701" w:type="dxa"/>
            <w:tcBorders>
              <w:top w:val="nil"/>
              <w:left w:val="nil"/>
              <w:right w:val="nil"/>
            </w:tcBorders>
            <w:shd w:val="clear" w:color="auto" w:fill="auto"/>
            <w:noWrap/>
            <w:vAlign w:val="bottom"/>
          </w:tcPr>
          <w:p w:rsidR="000C5327" w:rsidRPr="007B4511" w:rsidRDefault="000C5327" w:rsidP="007B4511">
            <w:pPr>
              <w:spacing w:after="0" w:line="240" w:lineRule="auto"/>
              <w:jc w:val="right"/>
              <w:rPr>
                <w:rFonts w:ascii="Arial" w:hAnsi="Arial" w:cs="Arial"/>
                <w:sz w:val="20"/>
                <w:szCs w:val="20"/>
              </w:rPr>
            </w:pPr>
            <w:r>
              <w:rPr>
                <w:rFonts w:ascii="Arial" w:hAnsi="Arial" w:cs="Arial"/>
                <w:sz w:val="20"/>
                <w:szCs w:val="20"/>
              </w:rPr>
              <w:t>(796)</w:t>
            </w:r>
          </w:p>
        </w:tc>
      </w:tr>
      <w:tr w:rsidR="000C5327" w:rsidRPr="007B4511" w:rsidTr="000C5327">
        <w:trPr>
          <w:trHeight w:val="300"/>
        </w:trPr>
        <w:tc>
          <w:tcPr>
            <w:tcW w:w="4695" w:type="dxa"/>
            <w:tcBorders>
              <w:left w:val="nil"/>
              <w:bottom w:val="single" w:sz="4" w:space="0" w:color="auto"/>
              <w:right w:val="nil"/>
            </w:tcBorders>
            <w:shd w:val="clear" w:color="auto" w:fill="auto"/>
            <w:noWrap/>
            <w:vAlign w:val="bottom"/>
          </w:tcPr>
          <w:p w:rsidR="000C5327" w:rsidRPr="007B4511" w:rsidRDefault="000C5327" w:rsidP="007B4511">
            <w:pPr>
              <w:spacing w:after="0" w:line="240" w:lineRule="auto"/>
              <w:rPr>
                <w:rFonts w:ascii="Arial" w:hAnsi="Arial" w:cs="Arial"/>
                <w:i/>
                <w:sz w:val="20"/>
                <w:szCs w:val="20"/>
              </w:rPr>
            </w:pPr>
            <w:r w:rsidRPr="007B4511">
              <w:rPr>
                <w:rFonts w:ascii="Arial" w:hAnsi="Arial" w:cs="Arial"/>
                <w:i/>
                <w:sz w:val="20"/>
                <w:szCs w:val="20"/>
              </w:rPr>
              <w:t>Tax rate</w:t>
            </w:r>
          </w:p>
        </w:tc>
        <w:tc>
          <w:tcPr>
            <w:tcW w:w="1701" w:type="dxa"/>
            <w:tcBorders>
              <w:left w:val="nil"/>
              <w:bottom w:val="single" w:sz="4" w:space="0" w:color="auto"/>
              <w:right w:val="nil"/>
            </w:tcBorders>
            <w:vAlign w:val="bottom"/>
          </w:tcPr>
          <w:p w:rsidR="000C5327" w:rsidRPr="007B4511" w:rsidRDefault="000C5327" w:rsidP="00ED600C">
            <w:pPr>
              <w:spacing w:after="0" w:line="240" w:lineRule="auto"/>
              <w:jc w:val="right"/>
              <w:rPr>
                <w:rFonts w:ascii="Arial" w:hAnsi="Arial" w:cs="Arial"/>
                <w:i/>
                <w:sz w:val="20"/>
                <w:szCs w:val="20"/>
              </w:rPr>
            </w:pPr>
            <w:r>
              <w:rPr>
                <w:rFonts w:ascii="Arial" w:hAnsi="Arial" w:cs="Arial"/>
                <w:i/>
                <w:sz w:val="20"/>
                <w:szCs w:val="20"/>
              </w:rPr>
              <w:t>24.7%</w:t>
            </w:r>
          </w:p>
        </w:tc>
        <w:tc>
          <w:tcPr>
            <w:tcW w:w="1701" w:type="dxa"/>
            <w:tcBorders>
              <w:left w:val="nil"/>
              <w:bottom w:val="single" w:sz="4" w:space="0" w:color="auto"/>
              <w:right w:val="nil"/>
            </w:tcBorders>
            <w:shd w:val="clear" w:color="auto" w:fill="auto"/>
            <w:noWrap/>
            <w:vAlign w:val="bottom"/>
          </w:tcPr>
          <w:p w:rsidR="000C5327" w:rsidRPr="007B4511" w:rsidRDefault="000C5327" w:rsidP="007B4511">
            <w:pPr>
              <w:spacing w:after="0" w:line="240" w:lineRule="auto"/>
              <w:jc w:val="right"/>
              <w:rPr>
                <w:rFonts w:ascii="Arial" w:hAnsi="Arial" w:cs="Arial"/>
                <w:i/>
                <w:sz w:val="20"/>
                <w:szCs w:val="20"/>
              </w:rPr>
            </w:pPr>
            <w:r>
              <w:rPr>
                <w:rFonts w:ascii="Arial" w:hAnsi="Arial" w:cs="Arial"/>
                <w:i/>
                <w:sz w:val="20"/>
                <w:szCs w:val="20"/>
              </w:rPr>
              <w:t>24.2%</w:t>
            </w:r>
          </w:p>
        </w:tc>
      </w:tr>
      <w:tr w:rsidR="000C5327" w:rsidRPr="007B4511" w:rsidTr="000C5327">
        <w:trPr>
          <w:trHeight w:val="315"/>
        </w:trPr>
        <w:tc>
          <w:tcPr>
            <w:tcW w:w="4695" w:type="dxa"/>
            <w:tcBorders>
              <w:top w:val="single" w:sz="4" w:space="0" w:color="auto"/>
              <w:left w:val="nil"/>
              <w:bottom w:val="double" w:sz="6" w:space="0" w:color="auto"/>
              <w:right w:val="nil"/>
            </w:tcBorders>
            <w:shd w:val="clear" w:color="auto" w:fill="auto"/>
            <w:noWrap/>
            <w:vAlign w:val="bottom"/>
          </w:tcPr>
          <w:p w:rsidR="000C5327" w:rsidRPr="007B4511" w:rsidRDefault="000C5327" w:rsidP="007B4511">
            <w:pPr>
              <w:spacing w:after="0" w:line="240" w:lineRule="auto"/>
              <w:rPr>
                <w:rFonts w:ascii="Arial" w:hAnsi="Arial" w:cs="Arial"/>
                <w:sz w:val="20"/>
                <w:szCs w:val="20"/>
              </w:rPr>
            </w:pPr>
            <w:r>
              <w:rPr>
                <w:rFonts w:ascii="Arial" w:hAnsi="Arial" w:cs="Arial"/>
                <w:sz w:val="20"/>
                <w:szCs w:val="20"/>
              </w:rPr>
              <w:t>Underlying profit after tax</w:t>
            </w:r>
          </w:p>
        </w:tc>
        <w:tc>
          <w:tcPr>
            <w:tcW w:w="1701" w:type="dxa"/>
            <w:tcBorders>
              <w:top w:val="single" w:sz="4" w:space="0" w:color="auto"/>
              <w:left w:val="nil"/>
              <w:bottom w:val="double" w:sz="6" w:space="0" w:color="auto"/>
              <w:right w:val="nil"/>
            </w:tcBorders>
            <w:vAlign w:val="bottom"/>
          </w:tcPr>
          <w:p w:rsidR="000C5327" w:rsidRPr="007B4511" w:rsidRDefault="000C5327" w:rsidP="00ED600C">
            <w:pPr>
              <w:spacing w:after="0" w:line="240" w:lineRule="auto"/>
              <w:jc w:val="right"/>
              <w:rPr>
                <w:rFonts w:ascii="Arial" w:hAnsi="Arial" w:cs="Arial"/>
                <w:sz w:val="20"/>
                <w:szCs w:val="20"/>
              </w:rPr>
            </w:pPr>
            <w:r>
              <w:rPr>
                <w:rFonts w:ascii="Arial" w:hAnsi="Arial" w:cs="Arial"/>
                <w:sz w:val="20"/>
                <w:szCs w:val="20"/>
              </w:rPr>
              <w:t>2,746</w:t>
            </w:r>
          </w:p>
        </w:tc>
        <w:tc>
          <w:tcPr>
            <w:tcW w:w="1701" w:type="dxa"/>
            <w:tcBorders>
              <w:top w:val="single" w:sz="4" w:space="0" w:color="auto"/>
              <w:left w:val="nil"/>
              <w:bottom w:val="double" w:sz="6" w:space="0" w:color="auto"/>
              <w:right w:val="nil"/>
            </w:tcBorders>
            <w:shd w:val="clear" w:color="auto" w:fill="auto"/>
            <w:noWrap/>
            <w:vAlign w:val="bottom"/>
          </w:tcPr>
          <w:p w:rsidR="000C5327" w:rsidRPr="007B4511" w:rsidRDefault="000C5327" w:rsidP="007B4511">
            <w:pPr>
              <w:spacing w:after="0" w:line="240" w:lineRule="auto"/>
              <w:jc w:val="right"/>
              <w:rPr>
                <w:rFonts w:ascii="Arial" w:hAnsi="Arial" w:cs="Arial"/>
                <w:sz w:val="20"/>
                <w:szCs w:val="20"/>
              </w:rPr>
            </w:pPr>
            <w:r>
              <w:rPr>
                <w:rFonts w:ascii="Arial" w:hAnsi="Arial" w:cs="Arial"/>
                <w:sz w:val="20"/>
                <w:szCs w:val="20"/>
              </w:rPr>
              <w:t>2,495</w:t>
            </w:r>
          </w:p>
        </w:tc>
      </w:tr>
      <w:tr w:rsidR="000C5327" w:rsidRPr="007B4511" w:rsidTr="00860682">
        <w:trPr>
          <w:trHeight w:val="315"/>
        </w:trPr>
        <w:tc>
          <w:tcPr>
            <w:tcW w:w="4695" w:type="dxa"/>
            <w:tcBorders>
              <w:top w:val="single" w:sz="4" w:space="0" w:color="auto"/>
              <w:left w:val="nil"/>
              <w:bottom w:val="single" w:sz="4" w:space="0" w:color="auto"/>
              <w:right w:val="nil"/>
            </w:tcBorders>
            <w:shd w:val="clear" w:color="auto" w:fill="auto"/>
            <w:noWrap/>
            <w:vAlign w:val="bottom"/>
          </w:tcPr>
          <w:p w:rsidR="000C5327" w:rsidRPr="007B4511" w:rsidRDefault="000C5327" w:rsidP="007B4511">
            <w:pPr>
              <w:spacing w:after="0" w:line="240" w:lineRule="auto"/>
              <w:rPr>
                <w:rFonts w:ascii="Arial" w:hAnsi="Arial" w:cs="Arial"/>
                <w:sz w:val="20"/>
                <w:szCs w:val="20"/>
              </w:rPr>
            </w:pPr>
          </w:p>
        </w:tc>
        <w:tc>
          <w:tcPr>
            <w:tcW w:w="1701" w:type="dxa"/>
            <w:tcBorders>
              <w:top w:val="single" w:sz="4" w:space="0" w:color="auto"/>
              <w:left w:val="nil"/>
              <w:bottom w:val="single" w:sz="4" w:space="0" w:color="auto"/>
              <w:right w:val="nil"/>
            </w:tcBorders>
            <w:vAlign w:val="bottom"/>
          </w:tcPr>
          <w:p w:rsidR="000C5327" w:rsidRPr="007B4511" w:rsidRDefault="000C5327" w:rsidP="00ED600C">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nil"/>
            </w:tcBorders>
            <w:shd w:val="clear" w:color="auto" w:fill="auto"/>
            <w:noWrap/>
            <w:vAlign w:val="bottom"/>
          </w:tcPr>
          <w:p w:rsidR="000C5327" w:rsidRPr="007B4511" w:rsidRDefault="000C5327" w:rsidP="007B4511">
            <w:pPr>
              <w:spacing w:after="0" w:line="240" w:lineRule="auto"/>
              <w:jc w:val="right"/>
              <w:rPr>
                <w:rFonts w:ascii="Arial" w:hAnsi="Arial" w:cs="Arial"/>
                <w:sz w:val="20"/>
                <w:szCs w:val="20"/>
              </w:rPr>
            </w:pPr>
          </w:p>
        </w:tc>
      </w:tr>
      <w:tr w:rsidR="000C5327" w:rsidRPr="007B4511" w:rsidTr="00860682">
        <w:trPr>
          <w:trHeight w:val="315"/>
        </w:trPr>
        <w:tc>
          <w:tcPr>
            <w:tcW w:w="4695" w:type="dxa"/>
            <w:tcBorders>
              <w:top w:val="single" w:sz="4" w:space="0" w:color="auto"/>
              <w:left w:val="single" w:sz="4" w:space="0" w:color="auto"/>
              <w:right w:val="nil"/>
            </w:tcBorders>
            <w:shd w:val="clear" w:color="auto" w:fill="auto"/>
            <w:noWrap/>
            <w:vAlign w:val="bottom"/>
          </w:tcPr>
          <w:p w:rsidR="000C5327" w:rsidRPr="007B4511" w:rsidRDefault="000C5327" w:rsidP="007B4511">
            <w:pPr>
              <w:spacing w:after="0" w:line="240" w:lineRule="auto"/>
              <w:rPr>
                <w:rFonts w:ascii="Arial" w:hAnsi="Arial" w:cs="Arial"/>
                <w:sz w:val="20"/>
                <w:szCs w:val="20"/>
              </w:rPr>
            </w:pPr>
            <w:r>
              <w:rPr>
                <w:rFonts w:ascii="Arial" w:hAnsi="Arial" w:cs="Arial"/>
                <w:sz w:val="20"/>
                <w:szCs w:val="20"/>
              </w:rPr>
              <w:t>Basic earnings per share on underlying profit</w:t>
            </w:r>
          </w:p>
        </w:tc>
        <w:tc>
          <w:tcPr>
            <w:tcW w:w="1701" w:type="dxa"/>
            <w:tcBorders>
              <w:top w:val="single" w:sz="4" w:space="0" w:color="auto"/>
              <w:left w:val="nil"/>
              <w:right w:val="nil"/>
            </w:tcBorders>
            <w:vAlign w:val="bottom"/>
          </w:tcPr>
          <w:p w:rsidR="000C5327" w:rsidRPr="007B4511" w:rsidRDefault="000C5327" w:rsidP="00ED600C">
            <w:pPr>
              <w:spacing w:after="0" w:line="240" w:lineRule="auto"/>
              <w:jc w:val="right"/>
              <w:rPr>
                <w:rFonts w:ascii="Arial" w:hAnsi="Arial" w:cs="Arial"/>
                <w:sz w:val="20"/>
                <w:szCs w:val="20"/>
              </w:rPr>
            </w:pPr>
            <w:r>
              <w:rPr>
                <w:rFonts w:ascii="Arial" w:hAnsi="Arial" w:cs="Arial"/>
                <w:sz w:val="20"/>
                <w:szCs w:val="20"/>
              </w:rPr>
              <w:t>22.2p</w:t>
            </w:r>
          </w:p>
        </w:tc>
        <w:tc>
          <w:tcPr>
            <w:tcW w:w="1701" w:type="dxa"/>
            <w:tcBorders>
              <w:top w:val="single" w:sz="4" w:space="0" w:color="auto"/>
              <w:left w:val="nil"/>
              <w:right w:val="single" w:sz="4" w:space="0" w:color="auto"/>
            </w:tcBorders>
            <w:shd w:val="clear" w:color="auto" w:fill="auto"/>
            <w:noWrap/>
            <w:vAlign w:val="bottom"/>
          </w:tcPr>
          <w:p w:rsidR="000C5327" w:rsidRPr="007B4511" w:rsidRDefault="000C5327" w:rsidP="007B4511">
            <w:pPr>
              <w:spacing w:after="0" w:line="240" w:lineRule="auto"/>
              <w:jc w:val="right"/>
              <w:rPr>
                <w:rFonts w:ascii="Arial" w:hAnsi="Arial" w:cs="Arial"/>
                <w:sz w:val="20"/>
                <w:szCs w:val="20"/>
              </w:rPr>
            </w:pPr>
            <w:r>
              <w:rPr>
                <w:rFonts w:ascii="Arial" w:hAnsi="Arial" w:cs="Arial"/>
                <w:sz w:val="20"/>
                <w:szCs w:val="20"/>
              </w:rPr>
              <w:t>21.6p</w:t>
            </w:r>
          </w:p>
        </w:tc>
      </w:tr>
      <w:tr w:rsidR="000C5327" w:rsidRPr="007B4511" w:rsidTr="00860682">
        <w:trPr>
          <w:trHeight w:val="315"/>
        </w:trPr>
        <w:tc>
          <w:tcPr>
            <w:tcW w:w="4695" w:type="dxa"/>
            <w:tcBorders>
              <w:left w:val="single" w:sz="4" w:space="0" w:color="auto"/>
              <w:bottom w:val="single" w:sz="4" w:space="0" w:color="auto"/>
              <w:right w:val="nil"/>
            </w:tcBorders>
            <w:shd w:val="clear" w:color="auto" w:fill="auto"/>
            <w:noWrap/>
            <w:vAlign w:val="bottom"/>
          </w:tcPr>
          <w:p w:rsidR="000C5327" w:rsidRPr="007B4511" w:rsidRDefault="000C5327" w:rsidP="007B4511">
            <w:pPr>
              <w:spacing w:after="0" w:line="240" w:lineRule="auto"/>
              <w:rPr>
                <w:rFonts w:ascii="Arial" w:hAnsi="Arial" w:cs="Arial"/>
                <w:sz w:val="20"/>
                <w:szCs w:val="20"/>
              </w:rPr>
            </w:pPr>
            <w:r>
              <w:rPr>
                <w:rFonts w:ascii="Arial" w:hAnsi="Arial" w:cs="Arial"/>
                <w:sz w:val="20"/>
                <w:szCs w:val="20"/>
              </w:rPr>
              <w:t>Diluted earnings per share on underlying profit</w:t>
            </w:r>
          </w:p>
        </w:tc>
        <w:tc>
          <w:tcPr>
            <w:tcW w:w="1701" w:type="dxa"/>
            <w:tcBorders>
              <w:left w:val="nil"/>
              <w:bottom w:val="single" w:sz="4" w:space="0" w:color="auto"/>
              <w:right w:val="nil"/>
            </w:tcBorders>
            <w:vAlign w:val="bottom"/>
          </w:tcPr>
          <w:p w:rsidR="000C5327" w:rsidRPr="007B4511" w:rsidRDefault="000C5327" w:rsidP="00ED600C">
            <w:pPr>
              <w:spacing w:after="0" w:line="240" w:lineRule="auto"/>
              <w:jc w:val="right"/>
              <w:rPr>
                <w:rFonts w:ascii="Arial" w:hAnsi="Arial" w:cs="Arial"/>
                <w:sz w:val="20"/>
                <w:szCs w:val="20"/>
              </w:rPr>
            </w:pPr>
            <w:r>
              <w:rPr>
                <w:rFonts w:ascii="Arial" w:hAnsi="Arial" w:cs="Arial"/>
                <w:sz w:val="20"/>
                <w:szCs w:val="20"/>
              </w:rPr>
              <w:t>22.0p</w:t>
            </w:r>
          </w:p>
        </w:tc>
        <w:tc>
          <w:tcPr>
            <w:tcW w:w="1701" w:type="dxa"/>
            <w:tcBorders>
              <w:left w:val="nil"/>
              <w:bottom w:val="single" w:sz="4" w:space="0" w:color="auto"/>
              <w:right w:val="single" w:sz="4" w:space="0" w:color="auto"/>
            </w:tcBorders>
            <w:shd w:val="clear" w:color="auto" w:fill="auto"/>
            <w:noWrap/>
            <w:vAlign w:val="bottom"/>
          </w:tcPr>
          <w:p w:rsidR="000C5327" w:rsidRPr="007B4511" w:rsidRDefault="000C5327" w:rsidP="007B4511">
            <w:pPr>
              <w:spacing w:after="0" w:line="240" w:lineRule="auto"/>
              <w:jc w:val="right"/>
              <w:rPr>
                <w:rFonts w:ascii="Arial" w:hAnsi="Arial" w:cs="Arial"/>
                <w:sz w:val="20"/>
                <w:szCs w:val="20"/>
              </w:rPr>
            </w:pPr>
            <w:r>
              <w:rPr>
                <w:rFonts w:ascii="Arial" w:hAnsi="Arial" w:cs="Arial"/>
                <w:sz w:val="20"/>
                <w:szCs w:val="20"/>
              </w:rPr>
              <w:t>21.3p</w:t>
            </w:r>
          </w:p>
        </w:tc>
      </w:tr>
    </w:tbl>
    <w:p w:rsidR="004B7139" w:rsidRDefault="004B713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br w:type="page"/>
      </w:r>
    </w:p>
    <w:p w:rsidR="007B4511" w:rsidRPr="007B4511" w:rsidRDefault="007B4511" w:rsidP="004B7139">
      <w:pPr>
        <w:tabs>
          <w:tab w:val="left" w:pos="553"/>
        </w:tabs>
        <w:jc w:val="both"/>
        <w:rPr>
          <w:rFonts w:ascii="Arial" w:eastAsia="Times New Roman" w:hAnsi="Arial" w:cs="Arial"/>
          <w:b/>
          <w:bCs/>
          <w:sz w:val="20"/>
          <w:szCs w:val="20"/>
          <w:lang w:eastAsia="en-GB"/>
        </w:rPr>
      </w:pPr>
      <w:r w:rsidRPr="007B4511">
        <w:rPr>
          <w:rFonts w:ascii="Arial" w:eastAsia="Times New Roman" w:hAnsi="Arial" w:cs="Arial"/>
          <w:b/>
          <w:bCs/>
          <w:sz w:val="20"/>
          <w:szCs w:val="20"/>
          <w:lang w:eastAsia="en-GB"/>
        </w:rPr>
        <w:t>5.</w:t>
      </w:r>
      <w:r w:rsidRPr="007B4511">
        <w:rPr>
          <w:rFonts w:ascii="Arial" w:eastAsia="Times New Roman" w:hAnsi="Arial" w:cs="Arial"/>
          <w:b/>
          <w:bCs/>
          <w:sz w:val="20"/>
          <w:szCs w:val="20"/>
          <w:lang w:eastAsia="en-GB"/>
        </w:rPr>
        <w:tab/>
        <w:t>Financial assets - available for sale equity securities</w:t>
      </w:r>
    </w:p>
    <w:p w:rsidR="007B4511" w:rsidRPr="007B4511" w:rsidRDefault="002E5564" w:rsidP="007B4511">
      <w:pPr>
        <w:tabs>
          <w:tab w:val="left" w:pos="2493"/>
          <w:tab w:val="left" w:pos="3973"/>
          <w:tab w:val="left" w:pos="5513"/>
          <w:tab w:val="left" w:pos="7053"/>
          <w:tab w:val="left" w:pos="8453"/>
          <w:tab w:val="left" w:pos="9753"/>
          <w:tab w:val="left" w:pos="10113"/>
          <w:tab w:val="left" w:pos="11773"/>
          <w:tab w:val="left" w:pos="13533"/>
        </w:tabs>
        <w:ind w:left="93"/>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(a) </w:t>
      </w:r>
      <w:r w:rsidR="007B4511" w:rsidRPr="007B4511">
        <w:rPr>
          <w:rFonts w:ascii="Arial" w:eastAsia="Times New Roman" w:hAnsi="Arial" w:cs="Arial"/>
          <w:b/>
          <w:bCs/>
          <w:sz w:val="20"/>
          <w:szCs w:val="20"/>
          <w:lang w:eastAsia="en-GB"/>
        </w:rPr>
        <w:t>At fair value</w:t>
      </w:r>
    </w:p>
    <w:p w:rsidR="007B4511" w:rsidRPr="007B4511" w:rsidRDefault="007B4511" w:rsidP="007B4511">
      <w:pPr>
        <w:ind w:left="93"/>
        <w:jc w:val="both"/>
        <w:rPr>
          <w:rFonts w:ascii="Arial" w:eastAsia="Times New Roman" w:hAnsi="Arial" w:cs="Arial"/>
          <w:sz w:val="20"/>
          <w:szCs w:val="20"/>
          <w:lang w:eastAsia="en-GB"/>
        </w:rPr>
      </w:pPr>
      <w:r w:rsidRPr="007B4511">
        <w:rPr>
          <w:rFonts w:ascii="Arial" w:eastAsia="Times New Roman" w:hAnsi="Arial" w:cs="Arial"/>
          <w:sz w:val="20"/>
          <w:szCs w:val="20"/>
          <w:lang w:eastAsia="en-GB"/>
        </w:rPr>
        <w:t>The Group has an investment of 12,825,000</w:t>
      </w:r>
      <w:r>
        <w:rPr>
          <w:rFonts w:ascii="Arial" w:eastAsia="Times New Roman" w:hAnsi="Arial" w:cs="Arial"/>
          <w:sz w:val="20"/>
          <w:szCs w:val="20"/>
          <w:lang w:eastAsia="en-GB"/>
        </w:rPr>
        <w:t xml:space="preserve"> shares (201</w:t>
      </w:r>
      <w:r w:rsidR="000C5327">
        <w:rPr>
          <w:rFonts w:ascii="Arial" w:eastAsia="Times New Roman" w:hAnsi="Arial" w:cs="Arial"/>
          <w:sz w:val="20"/>
          <w:szCs w:val="20"/>
          <w:lang w:eastAsia="en-GB"/>
        </w:rPr>
        <w:t>3</w:t>
      </w:r>
      <w:r w:rsidR="008228A2">
        <w:rPr>
          <w:rFonts w:ascii="Arial" w:eastAsia="Times New Roman" w:hAnsi="Arial" w:cs="Arial"/>
          <w:sz w:val="20"/>
          <w:szCs w:val="20"/>
          <w:lang w:eastAsia="en-GB"/>
        </w:rPr>
        <w:t>:</w:t>
      </w:r>
      <w:r w:rsidR="000C5327">
        <w:rPr>
          <w:rFonts w:ascii="Arial" w:eastAsia="Times New Roman" w:hAnsi="Arial" w:cs="Arial"/>
          <w:sz w:val="20"/>
          <w:szCs w:val="20"/>
          <w:lang w:eastAsia="en-GB"/>
        </w:rPr>
        <w:t>12</w:t>
      </w:r>
      <w:r w:rsidRPr="007B4511">
        <w:rPr>
          <w:rFonts w:ascii="Arial" w:eastAsia="Times New Roman" w:hAnsi="Arial" w:cs="Arial"/>
          <w:sz w:val="20"/>
          <w:szCs w:val="20"/>
          <w:lang w:eastAsia="en-GB"/>
        </w:rPr>
        <w:t>,</w:t>
      </w:r>
      <w:r w:rsidR="000C5327">
        <w:rPr>
          <w:rFonts w:ascii="Arial" w:eastAsia="Times New Roman" w:hAnsi="Arial" w:cs="Arial"/>
          <w:sz w:val="20"/>
          <w:szCs w:val="20"/>
          <w:lang w:eastAsia="en-GB"/>
        </w:rPr>
        <w:t>825</w:t>
      </w:r>
      <w:r w:rsidRPr="007B4511">
        <w:rPr>
          <w:rFonts w:ascii="Arial" w:eastAsia="Times New Roman" w:hAnsi="Arial" w:cs="Arial"/>
          <w:sz w:val="20"/>
          <w:szCs w:val="20"/>
          <w:lang w:eastAsia="en-GB"/>
        </w:rPr>
        <w:t>,000) in the AIM quoted company Falkland Oil and Gas Limited ('FOGL').</w:t>
      </w:r>
    </w:p>
    <w:tbl>
      <w:tblPr>
        <w:tblW w:w="7955" w:type="dxa"/>
        <w:tblInd w:w="-17" w:type="dxa"/>
        <w:tblLook w:val="04A0" w:firstRow="1" w:lastRow="0" w:firstColumn="1" w:lastColumn="0" w:noHBand="0" w:noVBand="1"/>
      </w:tblPr>
      <w:tblGrid>
        <w:gridCol w:w="4695"/>
        <w:gridCol w:w="1701"/>
        <w:gridCol w:w="1559"/>
      </w:tblGrid>
      <w:tr w:rsidR="000C5327" w:rsidRPr="007B4511" w:rsidTr="000C5327">
        <w:trPr>
          <w:trHeight w:val="507"/>
        </w:trPr>
        <w:tc>
          <w:tcPr>
            <w:tcW w:w="4695" w:type="dxa"/>
            <w:tcBorders>
              <w:top w:val="nil"/>
              <w:left w:val="nil"/>
              <w:right w:val="nil"/>
            </w:tcBorders>
            <w:shd w:val="clear" w:color="auto" w:fill="auto"/>
            <w:noWrap/>
            <w:vAlign w:val="bottom"/>
          </w:tcPr>
          <w:p w:rsidR="000C5327" w:rsidRPr="007B4511" w:rsidRDefault="000C5327" w:rsidP="000C5327">
            <w:pPr>
              <w:spacing w:after="0"/>
              <w:rPr>
                <w:rFonts w:ascii="Arial" w:eastAsia="Times New Roman" w:hAnsi="Arial" w:cs="Arial"/>
                <w:sz w:val="20"/>
                <w:szCs w:val="20"/>
                <w:lang w:eastAsia="en-GB"/>
              </w:rPr>
            </w:pPr>
          </w:p>
        </w:tc>
        <w:tc>
          <w:tcPr>
            <w:tcW w:w="1701" w:type="dxa"/>
            <w:tcBorders>
              <w:top w:val="nil"/>
              <w:left w:val="nil"/>
              <w:right w:val="nil"/>
            </w:tcBorders>
            <w:shd w:val="clear" w:color="auto" w:fill="auto"/>
            <w:noWrap/>
          </w:tcPr>
          <w:p w:rsidR="000C5327" w:rsidRPr="007B4511" w:rsidRDefault="000C5327" w:rsidP="000C5327">
            <w:pPr>
              <w:spacing w:after="0" w:line="240" w:lineRule="auto"/>
              <w:jc w:val="right"/>
              <w:rPr>
                <w:rFonts w:ascii="Arial" w:hAnsi="Arial" w:cs="Arial"/>
                <w:b/>
                <w:sz w:val="20"/>
                <w:szCs w:val="20"/>
              </w:rPr>
            </w:pPr>
            <w:r>
              <w:rPr>
                <w:rFonts w:ascii="Arial" w:hAnsi="Arial" w:cs="Arial"/>
                <w:b/>
                <w:sz w:val="20"/>
                <w:szCs w:val="20"/>
              </w:rPr>
              <w:t>2014</w:t>
            </w:r>
          </w:p>
        </w:tc>
        <w:tc>
          <w:tcPr>
            <w:tcW w:w="1559" w:type="dxa"/>
            <w:tcBorders>
              <w:top w:val="nil"/>
              <w:left w:val="nil"/>
              <w:right w:val="nil"/>
            </w:tcBorders>
          </w:tcPr>
          <w:p w:rsidR="000C5327" w:rsidRPr="00694326" w:rsidRDefault="000C5327" w:rsidP="000C5327">
            <w:pPr>
              <w:spacing w:after="0" w:line="240" w:lineRule="auto"/>
              <w:jc w:val="right"/>
              <w:rPr>
                <w:rFonts w:ascii="Arial" w:hAnsi="Arial" w:cs="Arial"/>
                <w:sz w:val="20"/>
                <w:szCs w:val="20"/>
              </w:rPr>
            </w:pPr>
            <w:r w:rsidRPr="00694326">
              <w:rPr>
                <w:rFonts w:ascii="Arial" w:hAnsi="Arial" w:cs="Arial"/>
                <w:sz w:val="20"/>
                <w:szCs w:val="20"/>
              </w:rPr>
              <w:t>2013</w:t>
            </w:r>
          </w:p>
        </w:tc>
      </w:tr>
      <w:tr w:rsidR="000C5327" w:rsidRPr="007B4511" w:rsidTr="000C5327">
        <w:trPr>
          <w:trHeight w:val="300"/>
        </w:trPr>
        <w:tc>
          <w:tcPr>
            <w:tcW w:w="4695" w:type="dxa"/>
            <w:tcBorders>
              <w:top w:val="single" w:sz="4" w:space="0" w:color="auto"/>
              <w:left w:val="nil"/>
              <w:right w:val="nil"/>
            </w:tcBorders>
            <w:shd w:val="clear" w:color="auto" w:fill="auto"/>
            <w:noWrap/>
            <w:vAlign w:val="bottom"/>
          </w:tcPr>
          <w:p w:rsidR="000C5327" w:rsidRPr="007B4511" w:rsidRDefault="000C5327" w:rsidP="000C5327">
            <w:pPr>
              <w:spacing w:after="0" w:line="240" w:lineRule="auto"/>
              <w:rPr>
                <w:rFonts w:ascii="Arial" w:hAnsi="Arial" w:cs="Arial"/>
                <w:sz w:val="20"/>
                <w:szCs w:val="20"/>
              </w:rPr>
            </w:pPr>
          </w:p>
        </w:tc>
        <w:tc>
          <w:tcPr>
            <w:tcW w:w="1701" w:type="dxa"/>
            <w:tcBorders>
              <w:top w:val="single" w:sz="4" w:space="0" w:color="auto"/>
              <w:left w:val="nil"/>
              <w:right w:val="nil"/>
            </w:tcBorders>
            <w:shd w:val="clear" w:color="auto" w:fill="auto"/>
            <w:noWrap/>
            <w:vAlign w:val="bottom"/>
          </w:tcPr>
          <w:p w:rsidR="000C5327" w:rsidRPr="007B4511" w:rsidRDefault="000C5327" w:rsidP="000C5327">
            <w:pPr>
              <w:spacing w:after="0" w:line="240" w:lineRule="auto"/>
              <w:jc w:val="right"/>
              <w:rPr>
                <w:rFonts w:ascii="Arial" w:hAnsi="Arial" w:cs="Arial"/>
                <w:sz w:val="20"/>
                <w:szCs w:val="20"/>
              </w:rPr>
            </w:pPr>
          </w:p>
        </w:tc>
        <w:tc>
          <w:tcPr>
            <w:tcW w:w="1559" w:type="dxa"/>
            <w:tcBorders>
              <w:top w:val="single" w:sz="4" w:space="0" w:color="auto"/>
              <w:left w:val="nil"/>
              <w:right w:val="nil"/>
            </w:tcBorders>
            <w:vAlign w:val="bottom"/>
          </w:tcPr>
          <w:p w:rsidR="000C5327" w:rsidRPr="007B4511" w:rsidRDefault="000C5327" w:rsidP="000C5327">
            <w:pPr>
              <w:spacing w:after="0" w:line="240" w:lineRule="auto"/>
              <w:jc w:val="right"/>
              <w:rPr>
                <w:rFonts w:ascii="Arial" w:hAnsi="Arial" w:cs="Arial"/>
                <w:sz w:val="20"/>
                <w:szCs w:val="20"/>
              </w:rPr>
            </w:pPr>
          </w:p>
        </w:tc>
      </w:tr>
      <w:tr w:rsidR="000C5327" w:rsidRPr="007B4511" w:rsidTr="000C5327">
        <w:trPr>
          <w:trHeight w:val="300"/>
        </w:trPr>
        <w:tc>
          <w:tcPr>
            <w:tcW w:w="4695" w:type="dxa"/>
            <w:tcBorders>
              <w:top w:val="nil"/>
              <w:left w:val="nil"/>
              <w:right w:val="nil"/>
            </w:tcBorders>
            <w:shd w:val="clear" w:color="auto" w:fill="auto"/>
            <w:noWrap/>
            <w:vAlign w:val="bottom"/>
          </w:tcPr>
          <w:p w:rsidR="000C5327" w:rsidRPr="007B4511" w:rsidRDefault="000C5327" w:rsidP="000C5327">
            <w:pPr>
              <w:spacing w:after="0" w:line="240" w:lineRule="auto"/>
              <w:rPr>
                <w:rFonts w:ascii="Arial" w:hAnsi="Arial" w:cs="Arial"/>
                <w:sz w:val="20"/>
                <w:szCs w:val="20"/>
              </w:rPr>
            </w:pPr>
            <w:r w:rsidRPr="007B4511">
              <w:rPr>
                <w:rFonts w:ascii="Arial" w:eastAsia="Times New Roman" w:hAnsi="Arial" w:cs="Arial"/>
                <w:sz w:val="20"/>
                <w:szCs w:val="20"/>
                <w:lang w:eastAsia="en-GB"/>
              </w:rPr>
              <w:t>Number of shares held by Group</w:t>
            </w:r>
          </w:p>
        </w:tc>
        <w:tc>
          <w:tcPr>
            <w:tcW w:w="1701" w:type="dxa"/>
            <w:tcBorders>
              <w:top w:val="nil"/>
              <w:left w:val="nil"/>
              <w:right w:val="nil"/>
            </w:tcBorders>
            <w:shd w:val="clear" w:color="auto" w:fill="auto"/>
            <w:noWrap/>
            <w:vAlign w:val="bottom"/>
          </w:tcPr>
          <w:p w:rsidR="000C5327" w:rsidRPr="007B4511" w:rsidRDefault="000C5327" w:rsidP="000C5327">
            <w:pPr>
              <w:spacing w:after="0" w:line="240" w:lineRule="auto"/>
              <w:jc w:val="right"/>
              <w:rPr>
                <w:rFonts w:ascii="Arial" w:hAnsi="Arial" w:cs="Arial"/>
                <w:sz w:val="20"/>
                <w:szCs w:val="20"/>
              </w:rPr>
            </w:pPr>
            <w:r>
              <w:rPr>
                <w:rFonts w:ascii="Arial" w:hAnsi="Arial" w:cs="Arial"/>
                <w:sz w:val="20"/>
                <w:szCs w:val="20"/>
              </w:rPr>
              <w:t>12,825,000</w:t>
            </w:r>
          </w:p>
        </w:tc>
        <w:tc>
          <w:tcPr>
            <w:tcW w:w="1559" w:type="dxa"/>
            <w:tcBorders>
              <w:top w:val="nil"/>
              <w:left w:val="nil"/>
              <w:right w:val="nil"/>
            </w:tcBorders>
            <w:vAlign w:val="bottom"/>
          </w:tcPr>
          <w:p w:rsidR="000C5327" w:rsidRPr="007B4511" w:rsidRDefault="000C5327" w:rsidP="000C5327">
            <w:pPr>
              <w:spacing w:after="0" w:line="240" w:lineRule="auto"/>
              <w:jc w:val="right"/>
              <w:rPr>
                <w:rFonts w:ascii="Arial" w:hAnsi="Arial" w:cs="Arial"/>
                <w:sz w:val="20"/>
                <w:szCs w:val="20"/>
              </w:rPr>
            </w:pPr>
            <w:r>
              <w:rPr>
                <w:rFonts w:ascii="Arial" w:hAnsi="Arial" w:cs="Arial"/>
                <w:sz w:val="20"/>
                <w:szCs w:val="20"/>
              </w:rPr>
              <w:t>12,825,000</w:t>
            </w:r>
          </w:p>
        </w:tc>
      </w:tr>
      <w:tr w:rsidR="000C5327" w:rsidRPr="007B4511" w:rsidTr="000C5327">
        <w:trPr>
          <w:trHeight w:val="300"/>
        </w:trPr>
        <w:tc>
          <w:tcPr>
            <w:tcW w:w="4695" w:type="dxa"/>
            <w:tcBorders>
              <w:top w:val="nil"/>
              <w:left w:val="nil"/>
              <w:right w:val="nil"/>
            </w:tcBorders>
            <w:shd w:val="clear" w:color="auto" w:fill="auto"/>
            <w:noWrap/>
            <w:vAlign w:val="bottom"/>
          </w:tcPr>
          <w:p w:rsidR="000C5327" w:rsidRPr="007B4511" w:rsidRDefault="000C5327" w:rsidP="000C5327">
            <w:pPr>
              <w:spacing w:after="0" w:line="240" w:lineRule="auto"/>
              <w:rPr>
                <w:rFonts w:ascii="Arial" w:hAnsi="Arial" w:cs="Arial"/>
                <w:sz w:val="20"/>
                <w:szCs w:val="20"/>
              </w:rPr>
            </w:pPr>
            <w:r w:rsidRPr="007B4511">
              <w:rPr>
                <w:rFonts w:ascii="Arial" w:eastAsia="Times New Roman" w:hAnsi="Arial" w:cs="Arial"/>
                <w:sz w:val="20"/>
                <w:szCs w:val="20"/>
                <w:lang w:eastAsia="en-GB"/>
              </w:rPr>
              <w:t>FOGL share price</w:t>
            </w:r>
          </w:p>
        </w:tc>
        <w:tc>
          <w:tcPr>
            <w:tcW w:w="1701" w:type="dxa"/>
            <w:tcBorders>
              <w:top w:val="nil"/>
              <w:left w:val="nil"/>
              <w:right w:val="nil"/>
            </w:tcBorders>
            <w:shd w:val="clear" w:color="auto" w:fill="auto"/>
            <w:noWrap/>
            <w:vAlign w:val="bottom"/>
          </w:tcPr>
          <w:p w:rsidR="000C5327" w:rsidRPr="007B4511" w:rsidRDefault="000C5327" w:rsidP="000C5327">
            <w:pPr>
              <w:spacing w:after="0" w:line="240" w:lineRule="auto"/>
              <w:jc w:val="right"/>
              <w:rPr>
                <w:rFonts w:ascii="Arial" w:hAnsi="Arial" w:cs="Arial"/>
                <w:sz w:val="20"/>
                <w:szCs w:val="20"/>
              </w:rPr>
            </w:pPr>
            <w:r>
              <w:rPr>
                <w:rFonts w:ascii="Arial" w:hAnsi="Arial" w:cs="Arial"/>
                <w:sz w:val="20"/>
                <w:szCs w:val="20"/>
              </w:rPr>
              <w:t>25.5p</w:t>
            </w:r>
          </w:p>
        </w:tc>
        <w:tc>
          <w:tcPr>
            <w:tcW w:w="1559" w:type="dxa"/>
            <w:tcBorders>
              <w:top w:val="nil"/>
              <w:left w:val="nil"/>
              <w:right w:val="nil"/>
            </w:tcBorders>
            <w:vAlign w:val="bottom"/>
          </w:tcPr>
          <w:p w:rsidR="000C5327" w:rsidRPr="007B4511" w:rsidRDefault="000C5327" w:rsidP="000C5327">
            <w:pPr>
              <w:spacing w:after="0" w:line="240" w:lineRule="auto"/>
              <w:jc w:val="right"/>
              <w:rPr>
                <w:rFonts w:ascii="Arial" w:hAnsi="Arial" w:cs="Arial"/>
                <w:sz w:val="20"/>
                <w:szCs w:val="20"/>
              </w:rPr>
            </w:pPr>
            <w:r>
              <w:rPr>
                <w:rFonts w:ascii="Arial" w:hAnsi="Arial" w:cs="Arial"/>
                <w:sz w:val="20"/>
                <w:szCs w:val="20"/>
              </w:rPr>
              <w:t>26.5p</w:t>
            </w:r>
          </w:p>
        </w:tc>
      </w:tr>
      <w:tr w:rsidR="000C5327" w:rsidRPr="007B4511" w:rsidTr="000C5327">
        <w:trPr>
          <w:trHeight w:val="315"/>
        </w:trPr>
        <w:tc>
          <w:tcPr>
            <w:tcW w:w="4695" w:type="dxa"/>
            <w:tcBorders>
              <w:bottom w:val="single" w:sz="4" w:space="0" w:color="auto"/>
              <w:right w:val="nil"/>
            </w:tcBorders>
            <w:shd w:val="clear" w:color="auto" w:fill="auto"/>
            <w:noWrap/>
            <w:vAlign w:val="bottom"/>
          </w:tcPr>
          <w:p w:rsidR="000C5327" w:rsidRPr="007B4511" w:rsidRDefault="000C5327" w:rsidP="000C5327">
            <w:pPr>
              <w:spacing w:after="0" w:line="240" w:lineRule="auto"/>
              <w:rPr>
                <w:rFonts w:ascii="Arial" w:hAnsi="Arial" w:cs="Arial"/>
                <w:sz w:val="20"/>
                <w:szCs w:val="20"/>
              </w:rPr>
            </w:pPr>
          </w:p>
        </w:tc>
        <w:tc>
          <w:tcPr>
            <w:tcW w:w="1701" w:type="dxa"/>
            <w:tcBorders>
              <w:left w:val="nil"/>
              <w:bottom w:val="single" w:sz="4" w:space="0" w:color="auto"/>
              <w:right w:val="nil"/>
            </w:tcBorders>
            <w:shd w:val="clear" w:color="auto" w:fill="auto"/>
            <w:noWrap/>
            <w:vAlign w:val="bottom"/>
          </w:tcPr>
          <w:p w:rsidR="000C5327" w:rsidRPr="007B4511" w:rsidRDefault="000C5327" w:rsidP="000C5327">
            <w:pPr>
              <w:spacing w:after="0" w:line="240" w:lineRule="auto"/>
              <w:jc w:val="right"/>
              <w:rPr>
                <w:rFonts w:ascii="Arial" w:hAnsi="Arial" w:cs="Arial"/>
                <w:sz w:val="20"/>
                <w:szCs w:val="20"/>
              </w:rPr>
            </w:pPr>
          </w:p>
        </w:tc>
        <w:tc>
          <w:tcPr>
            <w:tcW w:w="1559" w:type="dxa"/>
            <w:tcBorders>
              <w:left w:val="nil"/>
              <w:bottom w:val="single" w:sz="4" w:space="0" w:color="auto"/>
              <w:right w:val="nil"/>
            </w:tcBorders>
            <w:vAlign w:val="bottom"/>
          </w:tcPr>
          <w:p w:rsidR="000C5327" w:rsidRPr="007B4511" w:rsidRDefault="000C5327" w:rsidP="000C5327">
            <w:pPr>
              <w:spacing w:after="0" w:line="240" w:lineRule="auto"/>
              <w:jc w:val="right"/>
              <w:rPr>
                <w:rFonts w:ascii="Arial" w:hAnsi="Arial" w:cs="Arial"/>
                <w:sz w:val="20"/>
                <w:szCs w:val="20"/>
              </w:rPr>
            </w:pPr>
          </w:p>
        </w:tc>
      </w:tr>
      <w:tr w:rsidR="000C5327" w:rsidRPr="007B4511" w:rsidTr="000C5327">
        <w:trPr>
          <w:trHeight w:val="315"/>
        </w:trPr>
        <w:tc>
          <w:tcPr>
            <w:tcW w:w="4695" w:type="dxa"/>
            <w:tcBorders>
              <w:right w:val="nil"/>
            </w:tcBorders>
            <w:shd w:val="clear" w:color="auto" w:fill="auto"/>
            <w:noWrap/>
            <w:vAlign w:val="bottom"/>
          </w:tcPr>
          <w:p w:rsidR="000C5327" w:rsidRPr="007B4511" w:rsidRDefault="000C5327" w:rsidP="000C5327">
            <w:pPr>
              <w:spacing w:after="0" w:line="240" w:lineRule="auto"/>
              <w:rPr>
                <w:rFonts w:ascii="Arial" w:hAnsi="Arial" w:cs="Arial"/>
                <w:sz w:val="20"/>
                <w:szCs w:val="20"/>
              </w:rPr>
            </w:pPr>
            <w:r w:rsidRPr="007B4511">
              <w:rPr>
                <w:rFonts w:ascii="Arial" w:eastAsia="Times New Roman" w:hAnsi="Arial" w:cs="Arial"/>
                <w:sz w:val="20"/>
                <w:szCs w:val="20"/>
                <w:lang w:eastAsia="en-GB"/>
              </w:rPr>
              <w:t>Investment stated at fair value:</w:t>
            </w:r>
          </w:p>
        </w:tc>
        <w:tc>
          <w:tcPr>
            <w:tcW w:w="1701" w:type="dxa"/>
            <w:tcBorders>
              <w:left w:val="nil"/>
              <w:right w:val="nil"/>
            </w:tcBorders>
            <w:shd w:val="clear" w:color="auto" w:fill="auto"/>
            <w:noWrap/>
            <w:vAlign w:val="bottom"/>
          </w:tcPr>
          <w:p w:rsidR="000C5327" w:rsidRPr="007B4511" w:rsidRDefault="000C5327" w:rsidP="000C5327">
            <w:pPr>
              <w:spacing w:after="0" w:line="240" w:lineRule="auto"/>
              <w:jc w:val="right"/>
              <w:rPr>
                <w:rFonts w:ascii="Arial" w:hAnsi="Arial" w:cs="Arial"/>
                <w:sz w:val="20"/>
                <w:szCs w:val="20"/>
              </w:rPr>
            </w:pPr>
          </w:p>
        </w:tc>
        <w:tc>
          <w:tcPr>
            <w:tcW w:w="1559" w:type="dxa"/>
            <w:tcBorders>
              <w:left w:val="nil"/>
              <w:right w:val="nil"/>
            </w:tcBorders>
            <w:vAlign w:val="bottom"/>
          </w:tcPr>
          <w:p w:rsidR="000C5327" w:rsidRPr="007B4511" w:rsidRDefault="000C5327" w:rsidP="000C5327">
            <w:pPr>
              <w:spacing w:after="0" w:line="240" w:lineRule="auto"/>
              <w:jc w:val="right"/>
              <w:rPr>
                <w:rFonts w:ascii="Arial" w:hAnsi="Arial" w:cs="Arial"/>
                <w:sz w:val="20"/>
                <w:szCs w:val="20"/>
              </w:rPr>
            </w:pPr>
          </w:p>
        </w:tc>
      </w:tr>
      <w:tr w:rsidR="000C5327" w:rsidRPr="007B4511" w:rsidTr="000C5327">
        <w:trPr>
          <w:trHeight w:val="507"/>
        </w:trPr>
        <w:tc>
          <w:tcPr>
            <w:tcW w:w="4695" w:type="dxa"/>
            <w:tcBorders>
              <w:left w:val="nil"/>
              <w:bottom w:val="double" w:sz="6" w:space="0" w:color="auto"/>
              <w:right w:val="nil"/>
            </w:tcBorders>
            <w:shd w:val="clear" w:color="auto" w:fill="auto"/>
            <w:noWrap/>
            <w:vAlign w:val="bottom"/>
          </w:tcPr>
          <w:p w:rsidR="000C5327" w:rsidRPr="007B4511" w:rsidRDefault="000C5327" w:rsidP="000C5327">
            <w:pPr>
              <w:spacing w:after="0" w:line="240" w:lineRule="auto"/>
              <w:rPr>
                <w:rFonts w:ascii="Arial" w:hAnsi="Arial" w:cs="Arial"/>
                <w:sz w:val="20"/>
                <w:szCs w:val="20"/>
              </w:rPr>
            </w:pPr>
            <w:r w:rsidRPr="007B4511">
              <w:rPr>
                <w:rFonts w:ascii="Arial" w:eastAsia="Times New Roman" w:hAnsi="Arial" w:cs="Arial"/>
                <w:sz w:val="20"/>
                <w:szCs w:val="20"/>
                <w:lang w:eastAsia="en-GB"/>
              </w:rPr>
              <w:t>Falkland Oil and Gas Limited</w:t>
            </w:r>
            <w:r>
              <w:rPr>
                <w:rFonts w:ascii="Arial" w:eastAsia="Times New Roman" w:hAnsi="Arial" w:cs="Arial"/>
                <w:sz w:val="20"/>
                <w:szCs w:val="20"/>
                <w:lang w:eastAsia="en-GB"/>
              </w:rPr>
              <w:t xml:space="preserve"> £’000</w:t>
            </w:r>
          </w:p>
        </w:tc>
        <w:tc>
          <w:tcPr>
            <w:tcW w:w="1701" w:type="dxa"/>
            <w:tcBorders>
              <w:left w:val="nil"/>
              <w:bottom w:val="double" w:sz="6" w:space="0" w:color="auto"/>
              <w:right w:val="nil"/>
            </w:tcBorders>
            <w:shd w:val="clear" w:color="auto" w:fill="auto"/>
            <w:noWrap/>
            <w:vAlign w:val="bottom"/>
          </w:tcPr>
          <w:p w:rsidR="000C5327" w:rsidRPr="007B4511" w:rsidRDefault="000C5327" w:rsidP="000C5327">
            <w:pPr>
              <w:spacing w:after="0" w:line="240" w:lineRule="auto"/>
              <w:jc w:val="right"/>
              <w:rPr>
                <w:rFonts w:ascii="Arial" w:hAnsi="Arial" w:cs="Arial"/>
                <w:sz w:val="20"/>
                <w:szCs w:val="20"/>
              </w:rPr>
            </w:pPr>
            <w:r>
              <w:rPr>
                <w:rFonts w:ascii="Arial" w:hAnsi="Arial" w:cs="Arial"/>
                <w:sz w:val="20"/>
                <w:szCs w:val="20"/>
              </w:rPr>
              <w:t>3,270</w:t>
            </w:r>
          </w:p>
        </w:tc>
        <w:tc>
          <w:tcPr>
            <w:tcW w:w="1559" w:type="dxa"/>
            <w:tcBorders>
              <w:left w:val="nil"/>
              <w:bottom w:val="double" w:sz="6" w:space="0" w:color="auto"/>
              <w:right w:val="nil"/>
            </w:tcBorders>
            <w:vAlign w:val="bottom"/>
          </w:tcPr>
          <w:p w:rsidR="000C5327" w:rsidRPr="007B4511" w:rsidRDefault="000C5327" w:rsidP="000C5327">
            <w:pPr>
              <w:spacing w:after="0" w:line="240" w:lineRule="auto"/>
              <w:jc w:val="right"/>
              <w:rPr>
                <w:rFonts w:ascii="Arial" w:hAnsi="Arial" w:cs="Arial"/>
                <w:sz w:val="20"/>
                <w:szCs w:val="20"/>
              </w:rPr>
            </w:pPr>
            <w:r>
              <w:rPr>
                <w:rFonts w:ascii="Arial" w:hAnsi="Arial" w:cs="Arial"/>
                <w:sz w:val="20"/>
                <w:szCs w:val="20"/>
              </w:rPr>
              <w:t>3,399</w:t>
            </w:r>
          </w:p>
        </w:tc>
      </w:tr>
    </w:tbl>
    <w:p w:rsidR="007B4511" w:rsidRPr="007B4511" w:rsidRDefault="007B4511" w:rsidP="007B4511">
      <w:pPr>
        <w:rPr>
          <w:rFonts w:ascii="Arial" w:hAnsi="Arial" w:cs="Arial"/>
          <w:sz w:val="20"/>
          <w:szCs w:val="20"/>
          <w:lang w:eastAsia="en-GB"/>
        </w:rPr>
      </w:pPr>
    </w:p>
    <w:p w:rsidR="007B4511" w:rsidRPr="007B4511" w:rsidRDefault="007B4511" w:rsidP="007B4511">
      <w:pPr>
        <w:rPr>
          <w:rFonts w:ascii="Arial" w:eastAsia="Times New Roman" w:hAnsi="Arial" w:cs="Arial"/>
          <w:b/>
          <w:bCs/>
          <w:sz w:val="20"/>
          <w:szCs w:val="20"/>
          <w:lang w:eastAsia="en-GB"/>
        </w:rPr>
      </w:pPr>
      <w:r w:rsidRPr="007B4511">
        <w:rPr>
          <w:rFonts w:ascii="Arial" w:eastAsia="Times New Roman" w:hAnsi="Arial" w:cs="Arial"/>
          <w:b/>
          <w:bCs/>
          <w:sz w:val="20"/>
          <w:szCs w:val="20"/>
          <w:lang w:eastAsia="en-GB"/>
        </w:rPr>
        <w:t>(b) At cost</w:t>
      </w:r>
    </w:p>
    <w:tbl>
      <w:tblPr>
        <w:tblW w:w="7955" w:type="dxa"/>
        <w:tblInd w:w="-17" w:type="dxa"/>
        <w:tblLook w:val="04A0" w:firstRow="1" w:lastRow="0" w:firstColumn="1" w:lastColumn="0" w:noHBand="0" w:noVBand="1"/>
      </w:tblPr>
      <w:tblGrid>
        <w:gridCol w:w="4695"/>
        <w:gridCol w:w="1701"/>
        <w:gridCol w:w="1559"/>
      </w:tblGrid>
      <w:tr w:rsidR="007B4511" w:rsidRPr="007B4511">
        <w:trPr>
          <w:trHeight w:val="300"/>
        </w:trPr>
        <w:tc>
          <w:tcPr>
            <w:tcW w:w="4695" w:type="dxa"/>
            <w:tcBorders>
              <w:top w:val="nil"/>
              <w:left w:val="nil"/>
              <w:bottom w:val="single" w:sz="4" w:space="0" w:color="auto"/>
              <w:right w:val="nil"/>
            </w:tcBorders>
            <w:shd w:val="clear" w:color="auto" w:fill="auto"/>
            <w:noWrap/>
            <w:vAlign w:val="bottom"/>
          </w:tcPr>
          <w:p w:rsidR="007B4511" w:rsidRPr="007B4511" w:rsidRDefault="007B4511" w:rsidP="007B4511">
            <w:pPr>
              <w:spacing w:after="0" w:line="240" w:lineRule="auto"/>
              <w:rPr>
                <w:rFonts w:ascii="Arial" w:eastAsia="Times New Roman" w:hAnsi="Arial" w:cs="Arial"/>
                <w:sz w:val="20"/>
                <w:szCs w:val="20"/>
                <w:lang w:eastAsia="en-GB"/>
              </w:rPr>
            </w:pPr>
          </w:p>
        </w:tc>
        <w:tc>
          <w:tcPr>
            <w:tcW w:w="1701" w:type="dxa"/>
            <w:tcBorders>
              <w:top w:val="nil"/>
              <w:left w:val="nil"/>
              <w:bottom w:val="single" w:sz="4" w:space="0" w:color="auto"/>
              <w:right w:val="nil"/>
            </w:tcBorders>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31 March</w:t>
            </w:r>
          </w:p>
          <w:p w:rsidR="007B4511" w:rsidRPr="007B4511" w:rsidRDefault="000C5327"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2014</w:t>
            </w:r>
          </w:p>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£'000</w:t>
            </w:r>
          </w:p>
        </w:tc>
        <w:tc>
          <w:tcPr>
            <w:tcW w:w="1559" w:type="dxa"/>
            <w:tcBorders>
              <w:top w:val="nil"/>
              <w:left w:val="nil"/>
              <w:bottom w:val="single" w:sz="4" w:space="0" w:color="auto"/>
              <w:right w:val="nil"/>
            </w:tcBorders>
            <w:vAlign w:val="bottom"/>
          </w:tcPr>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31 March</w:t>
            </w:r>
          </w:p>
          <w:p w:rsidR="007B4511" w:rsidRPr="007B4511" w:rsidRDefault="000C5327" w:rsidP="007B451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2013</w:t>
            </w:r>
          </w:p>
          <w:p w:rsidR="007B4511" w:rsidRPr="007B4511" w:rsidRDefault="007B4511"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£'000</w:t>
            </w:r>
          </w:p>
        </w:tc>
      </w:tr>
      <w:tr w:rsidR="007B4511" w:rsidRPr="007B4511">
        <w:trPr>
          <w:trHeight w:val="300"/>
        </w:trPr>
        <w:tc>
          <w:tcPr>
            <w:tcW w:w="4695" w:type="dxa"/>
            <w:tcBorders>
              <w:top w:val="nil"/>
              <w:left w:val="nil"/>
              <w:bottom w:val="nil"/>
              <w:right w:val="nil"/>
            </w:tcBorders>
            <w:shd w:val="clear" w:color="auto" w:fill="auto"/>
            <w:noWrap/>
            <w:vAlign w:val="bottom"/>
          </w:tcPr>
          <w:p w:rsidR="007B4511" w:rsidRPr="007B4511" w:rsidRDefault="007B4511" w:rsidP="007B4511">
            <w:pPr>
              <w:spacing w:after="0" w:line="240" w:lineRule="auto"/>
              <w:rPr>
                <w:rFonts w:ascii="Arial" w:eastAsia="Times New Roman" w:hAnsi="Arial" w:cs="Arial"/>
                <w:sz w:val="20"/>
                <w:szCs w:val="20"/>
                <w:lang w:eastAsia="en-GB"/>
              </w:rPr>
            </w:pPr>
            <w:r w:rsidRPr="007B4511">
              <w:rPr>
                <w:rFonts w:ascii="Arial" w:eastAsia="Times New Roman" w:hAnsi="Arial" w:cs="Arial"/>
                <w:sz w:val="20"/>
                <w:szCs w:val="20"/>
                <w:lang w:eastAsia="en-GB"/>
              </w:rPr>
              <w:t>Investment at cost:</w:t>
            </w:r>
          </w:p>
        </w:tc>
        <w:tc>
          <w:tcPr>
            <w:tcW w:w="1701" w:type="dxa"/>
            <w:tcBorders>
              <w:top w:val="nil"/>
              <w:left w:val="nil"/>
              <w:bottom w:val="nil"/>
              <w:right w:val="nil"/>
            </w:tcBorders>
            <w:vAlign w:val="bottom"/>
          </w:tcPr>
          <w:p w:rsidR="007B4511" w:rsidRPr="007B4511" w:rsidRDefault="007B4511" w:rsidP="007B4511">
            <w:pPr>
              <w:spacing w:after="0" w:line="240" w:lineRule="auto"/>
              <w:rPr>
                <w:rFonts w:ascii="Arial" w:eastAsia="Times New Roman" w:hAnsi="Arial" w:cs="Arial"/>
                <w:sz w:val="20"/>
                <w:szCs w:val="20"/>
                <w:lang w:eastAsia="en-GB"/>
              </w:rPr>
            </w:pPr>
          </w:p>
        </w:tc>
        <w:tc>
          <w:tcPr>
            <w:tcW w:w="1559" w:type="dxa"/>
            <w:tcBorders>
              <w:top w:val="nil"/>
              <w:left w:val="nil"/>
              <w:bottom w:val="nil"/>
              <w:right w:val="nil"/>
            </w:tcBorders>
            <w:vAlign w:val="bottom"/>
          </w:tcPr>
          <w:p w:rsidR="007B4511" w:rsidRPr="007B4511" w:rsidRDefault="007B4511" w:rsidP="007B4511">
            <w:pPr>
              <w:spacing w:after="0" w:line="240" w:lineRule="auto"/>
              <w:rPr>
                <w:rFonts w:ascii="Arial" w:eastAsia="Times New Roman" w:hAnsi="Arial" w:cs="Arial"/>
                <w:sz w:val="20"/>
                <w:szCs w:val="20"/>
                <w:lang w:eastAsia="en-GB"/>
              </w:rPr>
            </w:pPr>
          </w:p>
        </w:tc>
      </w:tr>
      <w:tr w:rsidR="007B4511" w:rsidRPr="007B4511">
        <w:trPr>
          <w:trHeight w:val="315"/>
        </w:trPr>
        <w:tc>
          <w:tcPr>
            <w:tcW w:w="4695" w:type="dxa"/>
            <w:tcBorders>
              <w:top w:val="nil"/>
              <w:left w:val="nil"/>
              <w:bottom w:val="double" w:sz="6" w:space="0" w:color="auto"/>
              <w:right w:val="nil"/>
            </w:tcBorders>
            <w:shd w:val="clear" w:color="auto" w:fill="auto"/>
            <w:noWrap/>
            <w:vAlign w:val="bottom"/>
          </w:tcPr>
          <w:p w:rsidR="007B4511" w:rsidRPr="007B4511" w:rsidRDefault="007B4511" w:rsidP="007B4511">
            <w:pPr>
              <w:spacing w:after="0" w:line="240" w:lineRule="auto"/>
              <w:rPr>
                <w:rFonts w:ascii="Arial" w:eastAsia="Times New Roman" w:hAnsi="Arial" w:cs="Arial"/>
                <w:sz w:val="20"/>
                <w:szCs w:val="20"/>
                <w:lang w:eastAsia="en-GB"/>
              </w:rPr>
            </w:pPr>
            <w:r w:rsidRPr="007B4511">
              <w:rPr>
                <w:rFonts w:ascii="Arial" w:eastAsia="Times New Roman" w:hAnsi="Arial" w:cs="Arial"/>
                <w:sz w:val="20"/>
                <w:szCs w:val="20"/>
                <w:lang w:eastAsia="en-GB"/>
              </w:rPr>
              <w:t>Falkland Oil and Gas Limited</w:t>
            </w:r>
          </w:p>
        </w:tc>
        <w:tc>
          <w:tcPr>
            <w:tcW w:w="1701" w:type="dxa"/>
            <w:tcBorders>
              <w:top w:val="nil"/>
              <w:left w:val="nil"/>
              <w:bottom w:val="double" w:sz="6" w:space="0" w:color="auto"/>
              <w:right w:val="nil"/>
            </w:tcBorders>
            <w:vAlign w:val="bottom"/>
          </w:tcPr>
          <w:p w:rsidR="007B4511" w:rsidRPr="007B4511" w:rsidRDefault="007B4511" w:rsidP="008228A2">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2,</w:t>
            </w:r>
            <w:r w:rsidR="008228A2">
              <w:rPr>
                <w:rFonts w:ascii="Arial" w:eastAsia="Times New Roman" w:hAnsi="Arial" w:cs="Arial"/>
                <w:sz w:val="20"/>
                <w:szCs w:val="20"/>
                <w:lang w:eastAsia="en-GB"/>
              </w:rPr>
              <w:t>586</w:t>
            </w:r>
          </w:p>
        </w:tc>
        <w:tc>
          <w:tcPr>
            <w:tcW w:w="1559" w:type="dxa"/>
            <w:tcBorders>
              <w:top w:val="nil"/>
              <w:left w:val="nil"/>
              <w:bottom w:val="double" w:sz="6" w:space="0" w:color="auto"/>
              <w:right w:val="nil"/>
            </w:tcBorders>
            <w:vAlign w:val="bottom"/>
          </w:tcPr>
          <w:p w:rsidR="007B4511" w:rsidRPr="007B4511" w:rsidRDefault="000C5327" w:rsidP="007B4511">
            <w:pPr>
              <w:spacing w:after="0" w:line="240" w:lineRule="auto"/>
              <w:jc w:val="right"/>
              <w:rPr>
                <w:rFonts w:ascii="Arial" w:eastAsia="Times New Roman" w:hAnsi="Arial" w:cs="Arial"/>
                <w:sz w:val="20"/>
                <w:szCs w:val="20"/>
                <w:lang w:eastAsia="en-GB"/>
              </w:rPr>
            </w:pPr>
            <w:r w:rsidRPr="007B4511">
              <w:rPr>
                <w:rFonts w:ascii="Arial" w:eastAsia="Times New Roman" w:hAnsi="Arial" w:cs="Arial"/>
                <w:sz w:val="20"/>
                <w:szCs w:val="20"/>
                <w:lang w:eastAsia="en-GB"/>
              </w:rPr>
              <w:t>2,</w:t>
            </w:r>
            <w:r>
              <w:rPr>
                <w:rFonts w:ascii="Arial" w:eastAsia="Times New Roman" w:hAnsi="Arial" w:cs="Arial"/>
                <w:sz w:val="20"/>
                <w:szCs w:val="20"/>
                <w:lang w:eastAsia="en-GB"/>
              </w:rPr>
              <w:t>586</w:t>
            </w:r>
          </w:p>
        </w:tc>
      </w:tr>
    </w:tbl>
    <w:p w:rsidR="008228A2" w:rsidRPr="008228A2" w:rsidRDefault="008228A2" w:rsidP="008228A2">
      <w:pPr>
        <w:tabs>
          <w:tab w:val="left" w:pos="443"/>
          <w:tab w:val="left" w:pos="15980"/>
        </w:tabs>
        <w:jc w:val="both"/>
        <w:rPr>
          <w:rFonts w:ascii="Arial" w:eastAsia="Times New Roman" w:hAnsi="Arial" w:cs="Arial"/>
          <w:color w:val="000000"/>
          <w:sz w:val="20"/>
          <w:szCs w:val="20"/>
          <w:lang w:eastAsia="en-GB"/>
        </w:rPr>
      </w:pPr>
    </w:p>
    <w:p w:rsidR="008228A2" w:rsidRPr="008228A2" w:rsidRDefault="008228A2" w:rsidP="008228A2">
      <w:pPr>
        <w:tabs>
          <w:tab w:val="left" w:pos="443"/>
        </w:tabs>
        <w:ind w:left="-17"/>
        <w:rPr>
          <w:rFonts w:ascii="Arial" w:eastAsia="Times New Roman" w:hAnsi="Arial" w:cs="Arial"/>
          <w:b/>
          <w:bCs/>
          <w:sz w:val="20"/>
          <w:szCs w:val="20"/>
          <w:lang w:eastAsia="en-GB"/>
        </w:rPr>
      </w:pPr>
      <w:r>
        <w:rPr>
          <w:rFonts w:ascii="Arial" w:eastAsia="Times New Roman" w:hAnsi="Arial" w:cs="Arial"/>
          <w:b/>
          <w:bCs/>
          <w:sz w:val="20"/>
          <w:szCs w:val="20"/>
          <w:lang w:eastAsia="en-GB"/>
        </w:rPr>
        <w:t>6</w:t>
      </w:r>
      <w:r w:rsidR="00BF40F1">
        <w:rPr>
          <w:rFonts w:ascii="Arial" w:eastAsia="Times New Roman" w:hAnsi="Arial" w:cs="Arial"/>
          <w:b/>
          <w:bCs/>
          <w:sz w:val="20"/>
          <w:szCs w:val="20"/>
          <w:lang w:eastAsia="en-GB"/>
        </w:rPr>
        <w:t>.</w:t>
      </w:r>
      <w:r w:rsidRPr="008228A2">
        <w:rPr>
          <w:rFonts w:ascii="Arial" w:eastAsia="Times New Roman" w:hAnsi="Arial" w:cs="Arial"/>
          <w:b/>
          <w:bCs/>
          <w:sz w:val="20"/>
          <w:szCs w:val="20"/>
          <w:lang w:eastAsia="en-GB"/>
        </w:rPr>
        <w:tab/>
      </w:r>
      <w:r w:rsidR="003E0C06">
        <w:rPr>
          <w:rFonts w:ascii="Arial" w:eastAsia="Times New Roman" w:hAnsi="Arial" w:cs="Arial"/>
          <w:b/>
          <w:bCs/>
          <w:sz w:val="20"/>
          <w:szCs w:val="20"/>
          <w:lang w:eastAsia="en-GB"/>
        </w:rPr>
        <w:t>Net cash / (debt)</w:t>
      </w:r>
    </w:p>
    <w:tbl>
      <w:tblPr>
        <w:tblW w:w="9339" w:type="dxa"/>
        <w:tblInd w:w="-17" w:type="dxa"/>
        <w:tblLook w:val="04A0" w:firstRow="1" w:lastRow="0" w:firstColumn="1" w:lastColumn="0" w:noHBand="0" w:noVBand="1"/>
      </w:tblPr>
      <w:tblGrid>
        <w:gridCol w:w="4695"/>
        <w:gridCol w:w="1667"/>
        <w:gridCol w:w="1560"/>
        <w:gridCol w:w="1417"/>
      </w:tblGrid>
      <w:tr w:rsidR="008228A2" w:rsidRPr="008228A2" w:rsidTr="0002752E">
        <w:trPr>
          <w:trHeight w:val="972"/>
        </w:trPr>
        <w:tc>
          <w:tcPr>
            <w:tcW w:w="4695" w:type="dxa"/>
            <w:tcBorders>
              <w:top w:val="nil"/>
              <w:left w:val="nil"/>
              <w:right w:val="nil"/>
            </w:tcBorders>
            <w:shd w:val="clear" w:color="auto" w:fill="auto"/>
            <w:noWrap/>
          </w:tcPr>
          <w:p w:rsidR="008228A2" w:rsidRPr="008228A2" w:rsidRDefault="008228A2" w:rsidP="008228A2">
            <w:pPr>
              <w:spacing w:after="0" w:line="20" w:lineRule="atLeast"/>
              <w:jc w:val="right"/>
              <w:rPr>
                <w:rFonts w:ascii="Arial" w:eastAsia="Times New Roman" w:hAnsi="Arial" w:cs="Arial"/>
                <w:sz w:val="20"/>
                <w:szCs w:val="20"/>
                <w:lang w:eastAsia="en-GB"/>
              </w:rPr>
            </w:pPr>
          </w:p>
        </w:tc>
        <w:tc>
          <w:tcPr>
            <w:tcW w:w="1667" w:type="dxa"/>
            <w:tcBorders>
              <w:top w:val="nil"/>
              <w:left w:val="nil"/>
              <w:right w:val="nil"/>
            </w:tcBorders>
            <w:shd w:val="clear" w:color="auto" w:fill="auto"/>
            <w:noWrap/>
          </w:tcPr>
          <w:p w:rsidR="008228A2" w:rsidRPr="008228A2" w:rsidRDefault="008228A2" w:rsidP="008228A2">
            <w:pPr>
              <w:spacing w:after="0" w:line="20" w:lineRule="atLeast"/>
              <w:jc w:val="right"/>
              <w:rPr>
                <w:rFonts w:ascii="Arial" w:eastAsia="Times New Roman" w:hAnsi="Arial" w:cs="Arial"/>
                <w:sz w:val="20"/>
                <w:szCs w:val="20"/>
                <w:lang w:eastAsia="en-GB"/>
              </w:rPr>
            </w:pPr>
            <w:r w:rsidRPr="008228A2">
              <w:rPr>
                <w:rFonts w:ascii="Arial" w:eastAsia="Times New Roman" w:hAnsi="Arial" w:cs="Arial"/>
                <w:sz w:val="20"/>
                <w:szCs w:val="20"/>
                <w:lang w:eastAsia="en-GB"/>
              </w:rPr>
              <w:t>As at</w:t>
            </w:r>
          </w:p>
          <w:p w:rsidR="008228A2" w:rsidRPr="008228A2" w:rsidRDefault="008228A2" w:rsidP="008228A2">
            <w:pPr>
              <w:spacing w:after="0" w:line="20" w:lineRule="atLeast"/>
              <w:jc w:val="right"/>
              <w:rPr>
                <w:rFonts w:ascii="Arial" w:eastAsia="Times New Roman" w:hAnsi="Arial" w:cs="Arial"/>
                <w:sz w:val="20"/>
                <w:szCs w:val="20"/>
                <w:lang w:eastAsia="en-GB"/>
              </w:rPr>
            </w:pPr>
            <w:r w:rsidRPr="008228A2">
              <w:rPr>
                <w:rFonts w:ascii="Arial" w:eastAsia="Times New Roman" w:hAnsi="Arial" w:cs="Arial"/>
                <w:sz w:val="20"/>
                <w:szCs w:val="20"/>
                <w:lang w:eastAsia="en-GB"/>
              </w:rPr>
              <w:t>1 April</w:t>
            </w:r>
          </w:p>
          <w:p w:rsidR="008228A2" w:rsidRPr="008228A2" w:rsidRDefault="000C5327" w:rsidP="008228A2">
            <w:pPr>
              <w:spacing w:after="0" w:line="20" w:lineRule="atLeast"/>
              <w:jc w:val="right"/>
              <w:rPr>
                <w:rFonts w:ascii="Arial" w:eastAsia="Times New Roman" w:hAnsi="Arial" w:cs="Arial"/>
                <w:sz w:val="20"/>
                <w:szCs w:val="20"/>
                <w:lang w:eastAsia="en-GB"/>
              </w:rPr>
            </w:pPr>
            <w:r>
              <w:rPr>
                <w:rFonts w:ascii="Arial" w:eastAsia="Times New Roman" w:hAnsi="Arial" w:cs="Arial"/>
                <w:sz w:val="20"/>
                <w:szCs w:val="20"/>
                <w:lang w:eastAsia="en-GB"/>
              </w:rPr>
              <w:t>2013</w:t>
            </w:r>
          </w:p>
          <w:p w:rsidR="008228A2" w:rsidRPr="008228A2" w:rsidRDefault="008228A2" w:rsidP="008228A2">
            <w:pPr>
              <w:spacing w:after="0" w:line="20" w:lineRule="atLeast"/>
              <w:jc w:val="right"/>
              <w:rPr>
                <w:rFonts w:ascii="Arial" w:eastAsia="Times New Roman" w:hAnsi="Arial" w:cs="Arial"/>
                <w:sz w:val="20"/>
                <w:szCs w:val="20"/>
                <w:lang w:eastAsia="en-GB"/>
              </w:rPr>
            </w:pPr>
            <w:r w:rsidRPr="008228A2">
              <w:rPr>
                <w:rFonts w:ascii="Arial" w:eastAsia="Times New Roman" w:hAnsi="Arial" w:cs="Arial"/>
                <w:sz w:val="20"/>
                <w:szCs w:val="20"/>
                <w:lang w:eastAsia="en-GB"/>
              </w:rPr>
              <w:t>£'000</w:t>
            </w:r>
          </w:p>
        </w:tc>
        <w:tc>
          <w:tcPr>
            <w:tcW w:w="1560" w:type="dxa"/>
            <w:tcBorders>
              <w:top w:val="nil"/>
              <w:left w:val="nil"/>
              <w:right w:val="nil"/>
            </w:tcBorders>
            <w:shd w:val="clear" w:color="auto" w:fill="auto"/>
            <w:noWrap/>
          </w:tcPr>
          <w:p w:rsidR="008228A2" w:rsidRPr="008228A2" w:rsidRDefault="008228A2" w:rsidP="008228A2">
            <w:pPr>
              <w:spacing w:after="0" w:line="20" w:lineRule="atLeast"/>
              <w:jc w:val="right"/>
              <w:rPr>
                <w:rFonts w:ascii="Arial" w:eastAsia="Times New Roman" w:hAnsi="Arial" w:cs="Arial"/>
                <w:sz w:val="20"/>
                <w:szCs w:val="20"/>
                <w:lang w:eastAsia="en-GB"/>
              </w:rPr>
            </w:pPr>
            <w:r w:rsidRPr="008228A2">
              <w:rPr>
                <w:rFonts w:ascii="Arial" w:eastAsia="Times New Roman" w:hAnsi="Arial" w:cs="Arial"/>
                <w:sz w:val="20"/>
                <w:szCs w:val="20"/>
                <w:lang w:eastAsia="en-GB"/>
              </w:rPr>
              <w:t>Cash</w:t>
            </w:r>
          </w:p>
          <w:p w:rsidR="008228A2" w:rsidRPr="008228A2" w:rsidRDefault="008228A2" w:rsidP="008228A2">
            <w:pPr>
              <w:spacing w:after="0" w:line="20" w:lineRule="atLeast"/>
              <w:jc w:val="right"/>
              <w:rPr>
                <w:rFonts w:ascii="Arial" w:eastAsia="Times New Roman" w:hAnsi="Arial" w:cs="Arial"/>
                <w:sz w:val="20"/>
                <w:szCs w:val="20"/>
                <w:lang w:eastAsia="en-GB"/>
              </w:rPr>
            </w:pPr>
            <w:r w:rsidRPr="008228A2">
              <w:rPr>
                <w:rFonts w:ascii="Arial" w:eastAsia="Times New Roman" w:hAnsi="Arial" w:cs="Arial"/>
                <w:sz w:val="20"/>
                <w:szCs w:val="20"/>
                <w:lang w:eastAsia="en-GB"/>
              </w:rPr>
              <w:t>flows</w:t>
            </w:r>
          </w:p>
          <w:p w:rsidR="008228A2" w:rsidRPr="008228A2" w:rsidRDefault="008228A2" w:rsidP="008228A2">
            <w:pPr>
              <w:spacing w:after="0" w:line="20" w:lineRule="atLeast"/>
              <w:jc w:val="right"/>
              <w:rPr>
                <w:rFonts w:ascii="Arial" w:eastAsia="Times New Roman" w:hAnsi="Arial" w:cs="Arial"/>
                <w:sz w:val="20"/>
                <w:szCs w:val="20"/>
                <w:lang w:eastAsia="en-GB"/>
              </w:rPr>
            </w:pPr>
            <w:r w:rsidRPr="008228A2">
              <w:rPr>
                <w:rFonts w:ascii="Arial" w:eastAsia="Times New Roman" w:hAnsi="Arial" w:cs="Arial"/>
                <w:sz w:val="20"/>
                <w:szCs w:val="20"/>
                <w:lang w:eastAsia="en-GB"/>
              </w:rPr>
              <w:t>£'000</w:t>
            </w:r>
          </w:p>
        </w:tc>
        <w:tc>
          <w:tcPr>
            <w:tcW w:w="1417" w:type="dxa"/>
            <w:tcBorders>
              <w:top w:val="nil"/>
              <w:left w:val="nil"/>
              <w:right w:val="nil"/>
            </w:tcBorders>
            <w:shd w:val="clear" w:color="auto" w:fill="auto"/>
            <w:noWrap/>
          </w:tcPr>
          <w:p w:rsidR="008228A2" w:rsidRPr="008228A2" w:rsidRDefault="008228A2" w:rsidP="008228A2">
            <w:pPr>
              <w:spacing w:after="0" w:line="20" w:lineRule="atLeast"/>
              <w:jc w:val="right"/>
              <w:rPr>
                <w:rFonts w:ascii="Arial" w:eastAsia="Times New Roman" w:hAnsi="Arial" w:cs="Arial"/>
                <w:sz w:val="20"/>
                <w:szCs w:val="20"/>
                <w:lang w:eastAsia="en-GB"/>
              </w:rPr>
            </w:pPr>
            <w:r w:rsidRPr="008228A2">
              <w:rPr>
                <w:rFonts w:ascii="Arial" w:eastAsia="Times New Roman" w:hAnsi="Arial" w:cs="Arial"/>
                <w:sz w:val="20"/>
                <w:szCs w:val="20"/>
                <w:lang w:eastAsia="en-GB"/>
              </w:rPr>
              <w:t>As at</w:t>
            </w:r>
          </w:p>
          <w:p w:rsidR="008228A2" w:rsidRPr="008228A2" w:rsidRDefault="008228A2" w:rsidP="008228A2">
            <w:pPr>
              <w:spacing w:after="0" w:line="20" w:lineRule="atLeast"/>
              <w:jc w:val="right"/>
              <w:rPr>
                <w:rFonts w:ascii="Arial" w:eastAsia="Times New Roman" w:hAnsi="Arial" w:cs="Arial"/>
                <w:sz w:val="20"/>
                <w:szCs w:val="20"/>
                <w:lang w:eastAsia="en-GB"/>
              </w:rPr>
            </w:pPr>
            <w:r>
              <w:rPr>
                <w:rFonts w:ascii="Arial" w:eastAsia="Times New Roman" w:hAnsi="Arial" w:cs="Arial"/>
                <w:sz w:val="20"/>
                <w:szCs w:val="20"/>
                <w:lang w:eastAsia="en-GB"/>
              </w:rPr>
              <w:t>31 March</w:t>
            </w:r>
          </w:p>
          <w:p w:rsidR="008228A2" w:rsidRPr="008228A2" w:rsidRDefault="000C5327" w:rsidP="008228A2">
            <w:pPr>
              <w:spacing w:after="0" w:line="20" w:lineRule="atLeast"/>
              <w:jc w:val="right"/>
              <w:rPr>
                <w:rFonts w:ascii="Arial" w:eastAsia="Times New Roman" w:hAnsi="Arial" w:cs="Arial"/>
                <w:sz w:val="20"/>
                <w:szCs w:val="20"/>
                <w:lang w:eastAsia="en-GB"/>
              </w:rPr>
            </w:pPr>
            <w:r>
              <w:rPr>
                <w:rFonts w:ascii="Arial" w:eastAsia="Times New Roman" w:hAnsi="Arial" w:cs="Arial"/>
                <w:sz w:val="20"/>
                <w:szCs w:val="20"/>
                <w:lang w:eastAsia="en-GB"/>
              </w:rPr>
              <w:t>2014</w:t>
            </w:r>
          </w:p>
          <w:p w:rsidR="008228A2" w:rsidRPr="008228A2" w:rsidRDefault="008228A2" w:rsidP="008228A2">
            <w:pPr>
              <w:spacing w:after="0" w:line="20" w:lineRule="atLeast"/>
              <w:jc w:val="right"/>
              <w:rPr>
                <w:rFonts w:ascii="Arial" w:eastAsia="Times New Roman" w:hAnsi="Arial" w:cs="Arial"/>
                <w:sz w:val="20"/>
                <w:szCs w:val="20"/>
                <w:lang w:eastAsia="en-GB"/>
              </w:rPr>
            </w:pPr>
            <w:r w:rsidRPr="008228A2">
              <w:rPr>
                <w:rFonts w:ascii="Arial" w:eastAsia="Times New Roman" w:hAnsi="Arial" w:cs="Arial"/>
                <w:sz w:val="20"/>
                <w:szCs w:val="20"/>
                <w:lang w:eastAsia="en-GB"/>
              </w:rPr>
              <w:t>£'000</w:t>
            </w:r>
          </w:p>
        </w:tc>
      </w:tr>
      <w:tr w:rsidR="008228A2" w:rsidRPr="008228A2" w:rsidTr="0002752E">
        <w:trPr>
          <w:trHeight w:val="300"/>
        </w:trPr>
        <w:tc>
          <w:tcPr>
            <w:tcW w:w="4695" w:type="dxa"/>
            <w:tcBorders>
              <w:top w:val="nil"/>
              <w:left w:val="nil"/>
              <w:bottom w:val="nil"/>
              <w:right w:val="nil"/>
            </w:tcBorders>
            <w:shd w:val="clear" w:color="auto" w:fill="auto"/>
            <w:noWrap/>
            <w:vAlign w:val="bottom"/>
          </w:tcPr>
          <w:p w:rsidR="008228A2" w:rsidRPr="008228A2" w:rsidRDefault="008228A2" w:rsidP="008228A2">
            <w:pPr>
              <w:spacing w:after="0" w:line="20" w:lineRule="atLeast"/>
              <w:rPr>
                <w:rFonts w:ascii="Arial" w:eastAsia="Times New Roman" w:hAnsi="Arial" w:cs="Arial"/>
                <w:sz w:val="20"/>
                <w:szCs w:val="20"/>
                <w:lang w:eastAsia="en-GB"/>
              </w:rPr>
            </w:pPr>
          </w:p>
        </w:tc>
        <w:tc>
          <w:tcPr>
            <w:tcW w:w="1667" w:type="dxa"/>
            <w:tcBorders>
              <w:top w:val="nil"/>
              <w:left w:val="nil"/>
              <w:bottom w:val="nil"/>
              <w:right w:val="nil"/>
            </w:tcBorders>
            <w:shd w:val="clear" w:color="auto" w:fill="auto"/>
            <w:noWrap/>
            <w:vAlign w:val="bottom"/>
          </w:tcPr>
          <w:p w:rsidR="008228A2" w:rsidRPr="008228A2" w:rsidRDefault="008228A2" w:rsidP="008228A2">
            <w:pPr>
              <w:spacing w:after="0" w:line="20" w:lineRule="atLeast"/>
              <w:jc w:val="right"/>
              <w:rPr>
                <w:rFonts w:ascii="Arial" w:eastAsia="Times New Roman" w:hAnsi="Arial" w:cs="Arial"/>
                <w:sz w:val="20"/>
                <w:szCs w:val="20"/>
                <w:lang w:eastAsia="en-GB"/>
              </w:rPr>
            </w:pPr>
          </w:p>
        </w:tc>
        <w:tc>
          <w:tcPr>
            <w:tcW w:w="1560" w:type="dxa"/>
            <w:tcBorders>
              <w:top w:val="nil"/>
              <w:left w:val="nil"/>
              <w:bottom w:val="nil"/>
              <w:right w:val="nil"/>
            </w:tcBorders>
            <w:shd w:val="clear" w:color="auto" w:fill="auto"/>
            <w:noWrap/>
            <w:vAlign w:val="bottom"/>
          </w:tcPr>
          <w:p w:rsidR="008228A2" w:rsidRPr="008228A2" w:rsidRDefault="008228A2" w:rsidP="008228A2">
            <w:pPr>
              <w:spacing w:after="0" w:line="20" w:lineRule="atLeast"/>
              <w:jc w:val="right"/>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tcPr>
          <w:p w:rsidR="008228A2" w:rsidRPr="008228A2" w:rsidRDefault="008228A2" w:rsidP="008228A2">
            <w:pPr>
              <w:spacing w:after="0" w:line="20" w:lineRule="atLeast"/>
              <w:jc w:val="right"/>
              <w:rPr>
                <w:rFonts w:ascii="Arial" w:eastAsia="Times New Roman" w:hAnsi="Arial" w:cs="Arial"/>
                <w:sz w:val="20"/>
                <w:szCs w:val="20"/>
                <w:lang w:eastAsia="en-GB"/>
              </w:rPr>
            </w:pPr>
          </w:p>
        </w:tc>
      </w:tr>
      <w:tr w:rsidR="000C5327" w:rsidRPr="0084193E" w:rsidTr="0002752E">
        <w:trPr>
          <w:trHeight w:val="300"/>
        </w:trPr>
        <w:tc>
          <w:tcPr>
            <w:tcW w:w="4695" w:type="dxa"/>
            <w:tcBorders>
              <w:top w:val="nil"/>
              <w:left w:val="nil"/>
              <w:bottom w:val="nil"/>
              <w:right w:val="nil"/>
            </w:tcBorders>
            <w:shd w:val="clear" w:color="auto" w:fill="auto"/>
            <w:noWrap/>
            <w:vAlign w:val="bottom"/>
          </w:tcPr>
          <w:p w:rsidR="000C5327" w:rsidRPr="0084193E" w:rsidRDefault="000C5327" w:rsidP="008228A2">
            <w:pPr>
              <w:spacing w:after="0" w:line="20" w:lineRule="atLeast"/>
              <w:rPr>
                <w:rFonts w:ascii="Arial" w:eastAsia="Times New Roman" w:hAnsi="Arial" w:cs="Arial"/>
                <w:b/>
                <w:sz w:val="20"/>
                <w:szCs w:val="20"/>
                <w:lang w:eastAsia="en-GB"/>
              </w:rPr>
            </w:pPr>
            <w:r w:rsidRPr="0084193E">
              <w:rPr>
                <w:rFonts w:ascii="Arial" w:eastAsia="Times New Roman" w:hAnsi="Arial" w:cs="Arial"/>
                <w:b/>
                <w:sz w:val="20"/>
                <w:szCs w:val="20"/>
                <w:lang w:eastAsia="en-GB"/>
              </w:rPr>
              <w:t>Cash at bank and in hand</w:t>
            </w:r>
          </w:p>
        </w:tc>
        <w:tc>
          <w:tcPr>
            <w:tcW w:w="1667" w:type="dxa"/>
            <w:tcBorders>
              <w:top w:val="nil"/>
              <w:left w:val="nil"/>
              <w:bottom w:val="nil"/>
              <w:right w:val="nil"/>
            </w:tcBorders>
            <w:shd w:val="clear" w:color="auto" w:fill="auto"/>
            <w:noWrap/>
            <w:vAlign w:val="bottom"/>
          </w:tcPr>
          <w:p w:rsidR="000C5327" w:rsidRPr="0084193E" w:rsidRDefault="000C5327" w:rsidP="00ED600C">
            <w:pPr>
              <w:spacing w:after="0" w:line="20" w:lineRule="atLeast"/>
              <w:jc w:val="right"/>
              <w:rPr>
                <w:rFonts w:ascii="Arial" w:hAnsi="Arial" w:cs="Arial"/>
                <w:b/>
                <w:sz w:val="20"/>
                <w:szCs w:val="20"/>
              </w:rPr>
            </w:pPr>
            <w:r w:rsidRPr="0084193E">
              <w:rPr>
                <w:rFonts w:ascii="Arial" w:hAnsi="Arial" w:cs="Arial"/>
                <w:b/>
                <w:sz w:val="20"/>
                <w:szCs w:val="20"/>
              </w:rPr>
              <w:t>11,416</w:t>
            </w:r>
          </w:p>
        </w:tc>
        <w:tc>
          <w:tcPr>
            <w:tcW w:w="1560" w:type="dxa"/>
            <w:tcBorders>
              <w:top w:val="nil"/>
              <w:left w:val="nil"/>
              <w:bottom w:val="nil"/>
              <w:right w:val="nil"/>
            </w:tcBorders>
            <w:shd w:val="clear" w:color="auto" w:fill="auto"/>
            <w:noWrap/>
            <w:vAlign w:val="bottom"/>
          </w:tcPr>
          <w:p w:rsidR="000C5327" w:rsidRPr="0084193E" w:rsidRDefault="000C5327" w:rsidP="008228A2">
            <w:pPr>
              <w:spacing w:after="0" w:line="20" w:lineRule="atLeast"/>
              <w:jc w:val="right"/>
              <w:rPr>
                <w:rFonts w:ascii="Arial" w:hAnsi="Arial" w:cs="Arial"/>
                <w:b/>
                <w:sz w:val="20"/>
                <w:szCs w:val="20"/>
              </w:rPr>
            </w:pPr>
            <w:r>
              <w:rPr>
                <w:rFonts w:ascii="Arial" w:hAnsi="Arial" w:cs="Arial"/>
                <w:b/>
                <w:sz w:val="20"/>
                <w:szCs w:val="20"/>
              </w:rPr>
              <w:t>(5,701)</w:t>
            </w:r>
          </w:p>
        </w:tc>
        <w:tc>
          <w:tcPr>
            <w:tcW w:w="1417" w:type="dxa"/>
            <w:tcBorders>
              <w:top w:val="nil"/>
              <w:left w:val="nil"/>
              <w:bottom w:val="nil"/>
              <w:right w:val="nil"/>
            </w:tcBorders>
            <w:shd w:val="clear" w:color="auto" w:fill="auto"/>
            <w:noWrap/>
            <w:vAlign w:val="bottom"/>
          </w:tcPr>
          <w:p w:rsidR="000C5327" w:rsidRPr="0084193E" w:rsidRDefault="000C5327" w:rsidP="008228A2">
            <w:pPr>
              <w:spacing w:after="0" w:line="20" w:lineRule="atLeast"/>
              <w:jc w:val="right"/>
              <w:rPr>
                <w:rFonts w:ascii="Arial" w:hAnsi="Arial" w:cs="Arial"/>
                <w:b/>
                <w:sz w:val="20"/>
                <w:szCs w:val="20"/>
              </w:rPr>
            </w:pPr>
            <w:r>
              <w:rPr>
                <w:rFonts w:ascii="Arial" w:hAnsi="Arial" w:cs="Arial"/>
                <w:b/>
                <w:sz w:val="20"/>
                <w:szCs w:val="20"/>
              </w:rPr>
              <w:t>5,715</w:t>
            </w:r>
          </w:p>
        </w:tc>
      </w:tr>
      <w:tr w:rsidR="000C5327" w:rsidRPr="008228A2" w:rsidTr="0002752E">
        <w:trPr>
          <w:trHeight w:val="300"/>
        </w:trPr>
        <w:tc>
          <w:tcPr>
            <w:tcW w:w="4695" w:type="dxa"/>
            <w:tcBorders>
              <w:top w:val="nil"/>
              <w:left w:val="nil"/>
              <w:bottom w:val="nil"/>
              <w:right w:val="nil"/>
            </w:tcBorders>
            <w:shd w:val="clear" w:color="auto" w:fill="auto"/>
            <w:noWrap/>
            <w:vAlign w:val="bottom"/>
          </w:tcPr>
          <w:p w:rsidR="000C5327" w:rsidRPr="008228A2" w:rsidRDefault="000C5327" w:rsidP="008228A2">
            <w:pPr>
              <w:spacing w:after="0" w:line="20" w:lineRule="atLeast"/>
              <w:rPr>
                <w:rFonts w:ascii="Arial" w:eastAsia="Times New Roman" w:hAnsi="Arial" w:cs="Arial"/>
                <w:sz w:val="20"/>
                <w:szCs w:val="20"/>
                <w:lang w:eastAsia="en-GB"/>
              </w:rPr>
            </w:pPr>
          </w:p>
        </w:tc>
        <w:tc>
          <w:tcPr>
            <w:tcW w:w="1667" w:type="dxa"/>
            <w:tcBorders>
              <w:top w:val="nil"/>
              <w:left w:val="nil"/>
              <w:bottom w:val="nil"/>
              <w:right w:val="nil"/>
            </w:tcBorders>
            <w:shd w:val="clear" w:color="auto" w:fill="auto"/>
            <w:noWrap/>
            <w:vAlign w:val="bottom"/>
          </w:tcPr>
          <w:p w:rsidR="000C5327" w:rsidRPr="008228A2" w:rsidRDefault="000C5327" w:rsidP="00ED600C">
            <w:pPr>
              <w:spacing w:after="0" w:line="20" w:lineRule="atLeast"/>
              <w:rPr>
                <w:rFonts w:ascii="Arial" w:hAnsi="Arial" w:cs="Arial"/>
                <w:sz w:val="20"/>
                <w:szCs w:val="20"/>
              </w:rPr>
            </w:pPr>
          </w:p>
        </w:tc>
        <w:tc>
          <w:tcPr>
            <w:tcW w:w="1560" w:type="dxa"/>
            <w:tcBorders>
              <w:top w:val="nil"/>
              <w:left w:val="nil"/>
              <w:bottom w:val="nil"/>
              <w:right w:val="nil"/>
            </w:tcBorders>
            <w:shd w:val="clear" w:color="auto" w:fill="auto"/>
            <w:noWrap/>
            <w:vAlign w:val="bottom"/>
          </w:tcPr>
          <w:p w:rsidR="000C5327" w:rsidRPr="008228A2" w:rsidRDefault="000C5327" w:rsidP="008228A2">
            <w:pPr>
              <w:spacing w:after="0" w:line="20" w:lineRule="atLeast"/>
              <w:rPr>
                <w:rFonts w:ascii="Arial" w:hAnsi="Arial" w:cs="Arial"/>
                <w:sz w:val="20"/>
                <w:szCs w:val="20"/>
              </w:rPr>
            </w:pPr>
          </w:p>
        </w:tc>
        <w:tc>
          <w:tcPr>
            <w:tcW w:w="1417" w:type="dxa"/>
            <w:tcBorders>
              <w:top w:val="nil"/>
              <w:left w:val="nil"/>
              <w:bottom w:val="nil"/>
              <w:right w:val="nil"/>
            </w:tcBorders>
            <w:shd w:val="clear" w:color="auto" w:fill="auto"/>
            <w:noWrap/>
            <w:vAlign w:val="bottom"/>
          </w:tcPr>
          <w:p w:rsidR="000C5327" w:rsidRPr="008228A2" w:rsidRDefault="000C5327" w:rsidP="008228A2">
            <w:pPr>
              <w:spacing w:after="0" w:line="20" w:lineRule="atLeast"/>
              <w:rPr>
                <w:rFonts w:ascii="Arial" w:hAnsi="Arial" w:cs="Arial"/>
                <w:sz w:val="20"/>
                <w:szCs w:val="20"/>
              </w:rPr>
            </w:pPr>
          </w:p>
        </w:tc>
      </w:tr>
      <w:tr w:rsidR="000C5327" w:rsidRPr="008228A2" w:rsidTr="0002752E">
        <w:trPr>
          <w:trHeight w:val="300"/>
        </w:trPr>
        <w:tc>
          <w:tcPr>
            <w:tcW w:w="4695" w:type="dxa"/>
            <w:tcBorders>
              <w:top w:val="nil"/>
              <w:left w:val="nil"/>
              <w:bottom w:val="nil"/>
              <w:right w:val="nil"/>
            </w:tcBorders>
            <w:shd w:val="clear" w:color="auto" w:fill="auto"/>
            <w:noWrap/>
            <w:vAlign w:val="bottom"/>
          </w:tcPr>
          <w:p w:rsidR="000C5327" w:rsidRPr="008228A2" w:rsidRDefault="000C5327" w:rsidP="008228A2">
            <w:pPr>
              <w:spacing w:after="0" w:line="20" w:lineRule="atLeast"/>
              <w:rPr>
                <w:rFonts w:ascii="Arial" w:eastAsia="Times New Roman" w:hAnsi="Arial" w:cs="Arial"/>
                <w:sz w:val="20"/>
                <w:szCs w:val="20"/>
                <w:lang w:eastAsia="en-GB"/>
              </w:rPr>
            </w:pPr>
            <w:r w:rsidRPr="008228A2">
              <w:rPr>
                <w:rFonts w:ascii="Arial" w:eastAsia="Times New Roman" w:hAnsi="Arial" w:cs="Arial"/>
                <w:sz w:val="20"/>
                <w:szCs w:val="20"/>
                <w:lang w:eastAsia="en-GB"/>
              </w:rPr>
              <w:t>Debt due within one year</w:t>
            </w:r>
          </w:p>
        </w:tc>
        <w:tc>
          <w:tcPr>
            <w:tcW w:w="1667" w:type="dxa"/>
            <w:tcBorders>
              <w:top w:val="nil"/>
              <w:left w:val="nil"/>
              <w:bottom w:val="nil"/>
              <w:right w:val="nil"/>
            </w:tcBorders>
            <w:shd w:val="clear" w:color="auto" w:fill="auto"/>
            <w:noWrap/>
            <w:vAlign w:val="bottom"/>
          </w:tcPr>
          <w:p w:rsidR="000C5327" w:rsidRPr="008228A2" w:rsidRDefault="000C5327" w:rsidP="00ED600C">
            <w:pPr>
              <w:spacing w:after="0" w:line="20" w:lineRule="atLeast"/>
              <w:jc w:val="right"/>
              <w:rPr>
                <w:rFonts w:ascii="Arial" w:hAnsi="Arial" w:cs="Arial"/>
                <w:sz w:val="20"/>
                <w:szCs w:val="20"/>
              </w:rPr>
            </w:pPr>
            <w:r>
              <w:rPr>
                <w:rFonts w:ascii="Arial" w:hAnsi="Arial" w:cs="Arial"/>
                <w:sz w:val="20"/>
                <w:szCs w:val="20"/>
              </w:rPr>
              <w:t>(1,149</w:t>
            </w:r>
            <w:r w:rsidRPr="008228A2">
              <w:rPr>
                <w:rFonts w:ascii="Arial" w:hAnsi="Arial" w:cs="Arial"/>
                <w:sz w:val="20"/>
                <w:szCs w:val="20"/>
              </w:rPr>
              <w:t>)</w:t>
            </w:r>
          </w:p>
        </w:tc>
        <w:tc>
          <w:tcPr>
            <w:tcW w:w="1560" w:type="dxa"/>
            <w:tcBorders>
              <w:top w:val="nil"/>
              <w:left w:val="nil"/>
              <w:bottom w:val="nil"/>
              <w:right w:val="nil"/>
            </w:tcBorders>
            <w:shd w:val="clear" w:color="auto" w:fill="auto"/>
            <w:noWrap/>
            <w:vAlign w:val="bottom"/>
          </w:tcPr>
          <w:p w:rsidR="000C5327" w:rsidRPr="008228A2" w:rsidRDefault="000C5327" w:rsidP="008228A2">
            <w:pPr>
              <w:spacing w:after="0" w:line="20" w:lineRule="atLeast"/>
              <w:jc w:val="right"/>
              <w:rPr>
                <w:rFonts w:ascii="Arial" w:hAnsi="Arial" w:cs="Arial"/>
                <w:sz w:val="20"/>
                <w:szCs w:val="20"/>
              </w:rPr>
            </w:pPr>
            <w:r>
              <w:rPr>
                <w:rFonts w:ascii="Arial" w:hAnsi="Arial" w:cs="Arial"/>
                <w:sz w:val="20"/>
                <w:szCs w:val="20"/>
              </w:rPr>
              <w:t>40</w:t>
            </w:r>
          </w:p>
        </w:tc>
        <w:tc>
          <w:tcPr>
            <w:tcW w:w="1417" w:type="dxa"/>
            <w:tcBorders>
              <w:top w:val="nil"/>
              <w:left w:val="nil"/>
              <w:bottom w:val="nil"/>
              <w:right w:val="nil"/>
            </w:tcBorders>
            <w:shd w:val="clear" w:color="auto" w:fill="auto"/>
            <w:noWrap/>
            <w:vAlign w:val="bottom"/>
          </w:tcPr>
          <w:p w:rsidR="000C5327" w:rsidRPr="008228A2" w:rsidRDefault="000C5327" w:rsidP="008228A2">
            <w:pPr>
              <w:spacing w:after="0" w:line="20" w:lineRule="atLeast"/>
              <w:jc w:val="right"/>
              <w:rPr>
                <w:rFonts w:ascii="Arial" w:hAnsi="Arial" w:cs="Arial"/>
                <w:sz w:val="20"/>
                <w:szCs w:val="20"/>
              </w:rPr>
            </w:pPr>
            <w:r>
              <w:rPr>
                <w:rFonts w:ascii="Arial" w:hAnsi="Arial" w:cs="Arial"/>
                <w:sz w:val="20"/>
                <w:szCs w:val="20"/>
              </w:rPr>
              <w:t>(1,109</w:t>
            </w:r>
            <w:r w:rsidRPr="008228A2">
              <w:rPr>
                <w:rFonts w:ascii="Arial" w:hAnsi="Arial" w:cs="Arial"/>
                <w:sz w:val="20"/>
                <w:szCs w:val="20"/>
              </w:rPr>
              <w:t>)</w:t>
            </w:r>
          </w:p>
        </w:tc>
      </w:tr>
      <w:tr w:rsidR="000C5327" w:rsidRPr="008228A2" w:rsidTr="0002752E">
        <w:trPr>
          <w:trHeight w:val="300"/>
        </w:trPr>
        <w:tc>
          <w:tcPr>
            <w:tcW w:w="4695" w:type="dxa"/>
            <w:tcBorders>
              <w:top w:val="nil"/>
              <w:left w:val="nil"/>
              <w:bottom w:val="nil"/>
              <w:right w:val="nil"/>
            </w:tcBorders>
            <w:shd w:val="clear" w:color="auto" w:fill="auto"/>
            <w:noWrap/>
            <w:vAlign w:val="bottom"/>
          </w:tcPr>
          <w:p w:rsidR="000C5327" w:rsidRPr="008228A2" w:rsidRDefault="000C5327" w:rsidP="008228A2">
            <w:pPr>
              <w:spacing w:after="0" w:line="20" w:lineRule="atLeast"/>
              <w:rPr>
                <w:rFonts w:ascii="Arial" w:eastAsia="Times New Roman" w:hAnsi="Arial" w:cs="Arial"/>
                <w:sz w:val="20"/>
                <w:szCs w:val="20"/>
                <w:lang w:eastAsia="en-GB"/>
              </w:rPr>
            </w:pPr>
            <w:r w:rsidRPr="008228A2">
              <w:rPr>
                <w:rFonts w:ascii="Arial" w:eastAsia="Times New Roman" w:hAnsi="Arial" w:cs="Arial"/>
                <w:sz w:val="20"/>
                <w:szCs w:val="20"/>
                <w:lang w:eastAsia="en-GB"/>
              </w:rPr>
              <w:t>Debt due after one year - Bank loans</w:t>
            </w:r>
          </w:p>
        </w:tc>
        <w:tc>
          <w:tcPr>
            <w:tcW w:w="1667" w:type="dxa"/>
            <w:tcBorders>
              <w:top w:val="nil"/>
              <w:left w:val="nil"/>
              <w:bottom w:val="nil"/>
              <w:right w:val="nil"/>
            </w:tcBorders>
            <w:shd w:val="clear" w:color="auto" w:fill="auto"/>
            <w:noWrap/>
            <w:vAlign w:val="bottom"/>
          </w:tcPr>
          <w:p w:rsidR="000C5327" w:rsidRPr="008228A2" w:rsidRDefault="000C5327" w:rsidP="00ED600C">
            <w:pPr>
              <w:spacing w:after="0" w:line="20" w:lineRule="atLeast"/>
              <w:jc w:val="right"/>
              <w:rPr>
                <w:rFonts w:ascii="Arial" w:hAnsi="Arial" w:cs="Arial"/>
                <w:sz w:val="20"/>
                <w:szCs w:val="20"/>
              </w:rPr>
            </w:pPr>
            <w:r w:rsidRPr="008228A2">
              <w:rPr>
                <w:rFonts w:ascii="Arial" w:hAnsi="Arial" w:cs="Arial"/>
                <w:sz w:val="20"/>
                <w:szCs w:val="20"/>
              </w:rPr>
              <w:t>(1,</w:t>
            </w:r>
            <w:r>
              <w:rPr>
                <w:rFonts w:ascii="Arial" w:hAnsi="Arial" w:cs="Arial"/>
                <w:sz w:val="20"/>
                <w:szCs w:val="20"/>
              </w:rPr>
              <w:t>003</w:t>
            </w:r>
            <w:r w:rsidRPr="008228A2">
              <w:rPr>
                <w:rFonts w:ascii="Arial" w:hAnsi="Arial" w:cs="Arial"/>
                <w:sz w:val="20"/>
                <w:szCs w:val="20"/>
              </w:rPr>
              <w:t>)</w:t>
            </w:r>
          </w:p>
        </w:tc>
        <w:tc>
          <w:tcPr>
            <w:tcW w:w="1560" w:type="dxa"/>
            <w:tcBorders>
              <w:top w:val="nil"/>
              <w:left w:val="nil"/>
              <w:bottom w:val="nil"/>
              <w:right w:val="nil"/>
            </w:tcBorders>
            <w:shd w:val="clear" w:color="auto" w:fill="auto"/>
            <w:noWrap/>
            <w:vAlign w:val="bottom"/>
          </w:tcPr>
          <w:p w:rsidR="000C5327" w:rsidRPr="008228A2" w:rsidRDefault="000C5327" w:rsidP="008228A2">
            <w:pPr>
              <w:spacing w:after="0" w:line="20" w:lineRule="atLeast"/>
              <w:jc w:val="right"/>
              <w:rPr>
                <w:rFonts w:ascii="Arial" w:hAnsi="Arial" w:cs="Arial"/>
                <w:sz w:val="20"/>
                <w:szCs w:val="20"/>
              </w:rPr>
            </w:pPr>
            <w:r>
              <w:rPr>
                <w:rFonts w:ascii="Arial" w:hAnsi="Arial" w:cs="Arial"/>
                <w:sz w:val="20"/>
                <w:szCs w:val="20"/>
              </w:rPr>
              <w:t>969</w:t>
            </w:r>
          </w:p>
        </w:tc>
        <w:tc>
          <w:tcPr>
            <w:tcW w:w="1417" w:type="dxa"/>
            <w:tcBorders>
              <w:top w:val="nil"/>
              <w:left w:val="nil"/>
              <w:bottom w:val="nil"/>
              <w:right w:val="nil"/>
            </w:tcBorders>
            <w:shd w:val="clear" w:color="auto" w:fill="auto"/>
            <w:noWrap/>
            <w:vAlign w:val="bottom"/>
          </w:tcPr>
          <w:p w:rsidR="000C5327" w:rsidRPr="008228A2" w:rsidRDefault="000C5327" w:rsidP="000C5327">
            <w:pPr>
              <w:spacing w:after="0" w:line="20" w:lineRule="atLeast"/>
              <w:jc w:val="right"/>
              <w:rPr>
                <w:rFonts w:ascii="Arial" w:hAnsi="Arial" w:cs="Arial"/>
                <w:sz w:val="20"/>
                <w:szCs w:val="20"/>
              </w:rPr>
            </w:pPr>
            <w:r w:rsidRPr="008228A2">
              <w:rPr>
                <w:rFonts w:ascii="Arial" w:hAnsi="Arial" w:cs="Arial"/>
                <w:sz w:val="20"/>
                <w:szCs w:val="20"/>
              </w:rPr>
              <w:t>(</w:t>
            </w:r>
            <w:r>
              <w:rPr>
                <w:rFonts w:ascii="Arial" w:hAnsi="Arial" w:cs="Arial"/>
                <w:sz w:val="20"/>
                <w:szCs w:val="20"/>
              </w:rPr>
              <w:t>34</w:t>
            </w:r>
            <w:r w:rsidRPr="008228A2">
              <w:rPr>
                <w:rFonts w:ascii="Arial" w:hAnsi="Arial" w:cs="Arial"/>
                <w:sz w:val="20"/>
                <w:szCs w:val="20"/>
              </w:rPr>
              <w:t>)</w:t>
            </w:r>
          </w:p>
        </w:tc>
      </w:tr>
      <w:tr w:rsidR="000C5327" w:rsidRPr="008228A2" w:rsidTr="0002752E">
        <w:trPr>
          <w:trHeight w:val="300"/>
        </w:trPr>
        <w:tc>
          <w:tcPr>
            <w:tcW w:w="4695" w:type="dxa"/>
            <w:tcBorders>
              <w:top w:val="nil"/>
              <w:left w:val="nil"/>
              <w:bottom w:val="nil"/>
              <w:right w:val="nil"/>
            </w:tcBorders>
            <w:shd w:val="clear" w:color="auto" w:fill="auto"/>
            <w:noWrap/>
            <w:vAlign w:val="bottom"/>
          </w:tcPr>
          <w:p w:rsidR="000C5327" w:rsidRPr="008228A2" w:rsidRDefault="000C5327" w:rsidP="008228A2">
            <w:pPr>
              <w:spacing w:after="0" w:line="20" w:lineRule="atLeast"/>
              <w:rPr>
                <w:rFonts w:ascii="Arial" w:eastAsia="Times New Roman" w:hAnsi="Arial" w:cs="Arial"/>
                <w:sz w:val="20"/>
                <w:szCs w:val="20"/>
                <w:lang w:eastAsia="en-GB"/>
              </w:rPr>
            </w:pPr>
            <w:r w:rsidRPr="008228A2">
              <w:rPr>
                <w:rFonts w:ascii="Arial" w:eastAsia="Times New Roman" w:hAnsi="Arial" w:cs="Arial"/>
                <w:sz w:val="20"/>
                <w:szCs w:val="20"/>
                <w:lang w:eastAsia="en-GB"/>
              </w:rPr>
              <w:t>Debt due after one year - Hire Purchase</w:t>
            </w:r>
          </w:p>
        </w:tc>
        <w:tc>
          <w:tcPr>
            <w:tcW w:w="1667" w:type="dxa"/>
            <w:tcBorders>
              <w:top w:val="nil"/>
              <w:left w:val="nil"/>
              <w:bottom w:val="nil"/>
              <w:right w:val="nil"/>
            </w:tcBorders>
            <w:shd w:val="clear" w:color="auto" w:fill="auto"/>
            <w:noWrap/>
            <w:vAlign w:val="bottom"/>
          </w:tcPr>
          <w:p w:rsidR="000C5327" w:rsidRPr="008228A2" w:rsidRDefault="000C5327" w:rsidP="00ED600C">
            <w:pPr>
              <w:spacing w:after="0" w:line="20" w:lineRule="atLeast"/>
              <w:jc w:val="right"/>
              <w:rPr>
                <w:rFonts w:ascii="Arial" w:hAnsi="Arial" w:cs="Arial"/>
                <w:sz w:val="20"/>
                <w:szCs w:val="20"/>
              </w:rPr>
            </w:pPr>
            <w:r>
              <w:rPr>
                <w:rFonts w:ascii="Arial" w:hAnsi="Arial" w:cs="Arial"/>
                <w:sz w:val="20"/>
                <w:szCs w:val="20"/>
              </w:rPr>
              <w:t>(250</w:t>
            </w:r>
            <w:r w:rsidRPr="008228A2">
              <w:rPr>
                <w:rFonts w:ascii="Arial" w:hAnsi="Arial" w:cs="Arial"/>
                <w:sz w:val="20"/>
                <w:szCs w:val="20"/>
              </w:rPr>
              <w:t>)</w:t>
            </w:r>
          </w:p>
        </w:tc>
        <w:tc>
          <w:tcPr>
            <w:tcW w:w="1560" w:type="dxa"/>
            <w:tcBorders>
              <w:top w:val="nil"/>
              <w:left w:val="nil"/>
              <w:bottom w:val="nil"/>
              <w:right w:val="nil"/>
            </w:tcBorders>
            <w:shd w:val="clear" w:color="auto" w:fill="auto"/>
            <w:noWrap/>
            <w:vAlign w:val="bottom"/>
          </w:tcPr>
          <w:p w:rsidR="000C5327" w:rsidRPr="008228A2" w:rsidRDefault="000C5327" w:rsidP="008228A2">
            <w:pPr>
              <w:spacing w:after="0" w:line="20" w:lineRule="atLeast"/>
              <w:jc w:val="right"/>
              <w:rPr>
                <w:rFonts w:ascii="Arial" w:hAnsi="Arial" w:cs="Arial"/>
                <w:sz w:val="20"/>
                <w:szCs w:val="20"/>
              </w:rPr>
            </w:pPr>
            <w:r>
              <w:rPr>
                <w:rFonts w:ascii="Arial" w:hAnsi="Arial" w:cs="Arial"/>
                <w:sz w:val="20"/>
                <w:szCs w:val="20"/>
              </w:rPr>
              <w:t>81</w:t>
            </w:r>
          </w:p>
        </w:tc>
        <w:tc>
          <w:tcPr>
            <w:tcW w:w="1417" w:type="dxa"/>
            <w:tcBorders>
              <w:top w:val="nil"/>
              <w:left w:val="nil"/>
              <w:bottom w:val="nil"/>
              <w:right w:val="nil"/>
            </w:tcBorders>
            <w:shd w:val="clear" w:color="auto" w:fill="auto"/>
            <w:noWrap/>
            <w:vAlign w:val="bottom"/>
          </w:tcPr>
          <w:p w:rsidR="000C5327" w:rsidRPr="008228A2" w:rsidRDefault="000C5327" w:rsidP="008228A2">
            <w:pPr>
              <w:spacing w:after="0" w:line="20" w:lineRule="atLeast"/>
              <w:jc w:val="right"/>
              <w:rPr>
                <w:rFonts w:ascii="Arial" w:hAnsi="Arial" w:cs="Arial"/>
                <w:sz w:val="20"/>
                <w:szCs w:val="20"/>
              </w:rPr>
            </w:pPr>
            <w:r>
              <w:rPr>
                <w:rFonts w:ascii="Arial" w:hAnsi="Arial" w:cs="Arial"/>
                <w:sz w:val="20"/>
                <w:szCs w:val="20"/>
              </w:rPr>
              <w:t>(169</w:t>
            </w:r>
            <w:r w:rsidRPr="008228A2">
              <w:rPr>
                <w:rFonts w:ascii="Arial" w:hAnsi="Arial" w:cs="Arial"/>
                <w:sz w:val="20"/>
                <w:szCs w:val="20"/>
              </w:rPr>
              <w:t>)</w:t>
            </w:r>
          </w:p>
        </w:tc>
      </w:tr>
      <w:tr w:rsidR="000C5327" w:rsidRPr="008228A2" w:rsidTr="0002752E">
        <w:trPr>
          <w:trHeight w:val="300"/>
        </w:trPr>
        <w:tc>
          <w:tcPr>
            <w:tcW w:w="4695" w:type="dxa"/>
            <w:tcBorders>
              <w:top w:val="nil"/>
              <w:left w:val="nil"/>
              <w:bottom w:val="nil"/>
              <w:right w:val="nil"/>
            </w:tcBorders>
            <w:shd w:val="clear" w:color="auto" w:fill="auto"/>
            <w:noWrap/>
            <w:vAlign w:val="bottom"/>
          </w:tcPr>
          <w:p w:rsidR="000C5327" w:rsidRPr="008228A2" w:rsidRDefault="000C5327" w:rsidP="00837997">
            <w:pPr>
              <w:spacing w:after="0" w:line="20" w:lineRule="atLeast"/>
              <w:rPr>
                <w:rFonts w:ascii="Arial" w:eastAsia="Times New Roman" w:hAnsi="Arial" w:cs="Arial"/>
                <w:sz w:val="20"/>
                <w:szCs w:val="20"/>
                <w:lang w:eastAsia="en-GB"/>
              </w:rPr>
            </w:pPr>
            <w:r w:rsidRPr="008228A2">
              <w:rPr>
                <w:rFonts w:ascii="Arial" w:eastAsia="Times New Roman" w:hAnsi="Arial" w:cs="Arial"/>
                <w:sz w:val="20"/>
                <w:szCs w:val="20"/>
                <w:lang w:eastAsia="en-GB"/>
              </w:rPr>
              <w:t>Debt due after one year - Pontoon Lease</w:t>
            </w:r>
          </w:p>
        </w:tc>
        <w:tc>
          <w:tcPr>
            <w:tcW w:w="1667" w:type="dxa"/>
            <w:tcBorders>
              <w:top w:val="nil"/>
              <w:left w:val="nil"/>
              <w:bottom w:val="nil"/>
              <w:right w:val="nil"/>
            </w:tcBorders>
            <w:shd w:val="clear" w:color="auto" w:fill="auto"/>
            <w:noWrap/>
            <w:vAlign w:val="bottom"/>
          </w:tcPr>
          <w:p w:rsidR="000C5327" w:rsidRPr="008228A2" w:rsidRDefault="000C5327" w:rsidP="00ED600C">
            <w:pPr>
              <w:spacing w:after="0" w:line="20" w:lineRule="atLeast"/>
              <w:jc w:val="right"/>
              <w:rPr>
                <w:rFonts w:ascii="Arial" w:hAnsi="Arial" w:cs="Arial"/>
                <w:sz w:val="20"/>
                <w:szCs w:val="20"/>
              </w:rPr>
            </w:pPr>
            <w:r w:rsidRPr="008228A2">
              <w:rPr>
                <w:rFonts w:ascii="Arial" w:hAnsi="Arial" w:cs="Arial"/>
                <w:sz w:val="20"/>
                <w:szCs w:val="20"/>
              </w:rPr>
              <w:t>(4,</w:t>
            </w:r>
            <w:r>
              <w:rPr>
                <w:rFonts w:ascii="Arial" w:hAnsi="Arial" w:cs="Arial"/>
                <w:sz w:val="20"/>
                <w:szCs w:val="20"/>
              </w:rPr>
              <w:t>886</w:t>
            </w:r>
            <w:r w:rsidRPr="008228A2">
              <w:rPr>
                <w:rFonts w:ascii="Arial" w:hAnsi="Arial" w:cs="Arial"/>
                <w:sz w:val="20"/>
                <w:szCs w:val="20"/>
              </w:rPr>
              <w:t>)</w:t>
            </w:r>
          </w:p>
        </w:tc>
        <w:tc>
          <w:tcPr>
            <w:tcW w:w="1560" w:type="dxa"/>
            <w:tcBorders>
              <w:top w:val="nil"/>
              <w:left w:val="nil"/>
              <w:bottom w:val="nil"/>
              <w:right w:val="nil"/>
            </w:tcBorders>
            <w:shd w:val="clear" w:color="auto" w:fill="auto"/>
            <w:noWrap/>
            <w:vAlign w:val="bottom"/>
          </w:tcPr>
          <w:p w:rsidR="000C5327" w:rsidRPr="008228A2" w:rsidRDefault="000C5327" w:rsidP="00837997">
            <w:pPr>
              <w:spacing w:after="0" w:line="20" w:lineRule="atLeast"/>
              <w:jc w:val="right"/>
              <w:rPr>
                <w:rFonts w:ascii="Arial" w:hAnsi="Arial" w:cs="Arial"/>
                <w:sz w:val="20"/>
                <w:szCs w:val="20"/>
              </w:rPr>
            </w:pPr>
            <w:r>
              <w:rPr>
                <w:rFonts w:ascii="Arial" w:hAnsi="Arial" w:cs="Arial"/>
                <w:sz w:val="20"/>
                <w:szCs w:val="20"/>
              </w:rPr>
              <w:t>28</w:t>
            </w:r>
          </w:p>
        </w:tc>
        <w:tc>
          <w:tcPr>
            <w:tcW w:w="1417" w:type="dxa"/>
            <w:tcBorders>
              <w:top w:val="nil"/>
              <w:left w:val="nil"/>
              <w:bottom w:val="nil"/>
              <w:right w:val="nil"/>
            </w:tcBorders>
            <w:shd w:val="clear" w:color="auto" w:fill="auto"/>
            <w:noWrap/>
            <w:vAlign w:val="bottom"/>
          </w:tcPr>
          <w:p w:rsidR="000C5327" w:rsidRPr="008228A2" w:rsidRDefault="000C5327" w:rsidP="00837997">
            <w:pPr>
              <w:spacing w:after="0" w:line="20" w:lineRule="atLeast"/>
              <w:jc w:val="right"/>
              <w:rPr>
                <w:rFonts w:ascii="Arial" w:hAnsi="Arial" w:cs="Arial"/>
                <w:sz w:val="20"/>
                <w:szCs w:val="20"/>
              </w:rPr>
            </w:pPr>
            <w:r w:rsidRPr="008228A2">
              <w:rPr>
                <w:rFonts w:ascii="Arial" w:hAnsi="Arial" w:cs="Arial"/>
                <w:sz w:val="20"/>
                <w:szCs w:val="20"/>
              </w:rPr>
              <w:t>(4,</w:t>
            </w:r>
            <w:r>
              <w:rPr>
                <w:rFonts w:ascii="Arial" w:hAnsi="Arial" w:cs="Arial"/>
                <w:sz w:val="20"/>
                <w:szCs w:val="20"/>
              </w:rPr>
              <w:t>858</w:t>
            </w:r>
            <w:r w:rsidRPr="008228A2">
              <w:rPr>
                <w:rFonts w:ascii="Arial" w:hAnsi="Arial" w:cs="Arial"/>
                <w:sz w:val="20"/>
                <w:szCs w:val="20"/>
              </w:rPr>
              <w:t>)</w:t>
            </w:r>
          </w:p>
        </w:tc>
      </w:tr>
      <w:tr w:rsidR="000C5327" w:rsidRPr="008228A2" w:rsidTr="0002752E">
        <w:trPr>
          <w:trHeight w:val="300"/>
        </w:trPr>
        <w:tc>
          <w:tcPr>
            <w:tcW w:w="4695" w:type="dxa"/>
            <w:tcBorders>
              <w:top w:val="nil"/>
              <w:left w:val="nil"/>
              <w:bottom w:val="single" w:sz="4" w:space="0" w:color="auto"/>
              <w:right w:val="nil"/>
            </w:tcBorders>
            <w:shd w:val="clear" w:color="auto" w:fill="auto"/>
            <w:noWrap/>
            <w:vAlign w:val="bottom"/>
          </w:tcPr>
          <w:p w:rsidR="000C5327" w:rsidRPr="008228A2" w:rsidRDefault="000C5327" w:rsidP="00837997">
            <w:pPr>
              <w:spacing w:after="0" w:line="20" w:lineRule="atLeast"/>
              <w:rPr>
                <w:rFonts w:ascii="Arial" w:eastAsia="Times New Roman" w:hAnsi="Arial" w:cs="Arial"/>
                <w:sz w:val="20"/>
                <w:szCs w:val="20"/>
                <w:lang w:eastAsia="en-GB"/>
              </w:rPr>
            </w:pPr>
          </w:p>
        </w:tc>
        <w:tc>
          <w:tcPr>
            <w:tcW w:w="1667" w:type="dxa"/>
            <w:tcBorders>
              <w:top w:val="nil"/>
              <w:left w:val="nil"/>
              <w:bottom w:val="single" w:sz="4" w:space="0" w:color="auto"/>
              <w:right w:val="nil"/>
            </w:tcBorders>
            <w:shd w:val="clear" w:color="auto" w:fill="auto"/>
            <w:noWrap/>
            <w:vAlign w:val="bottom"/>
          </w:tcPr>
          <w:p w:rsidR="000C5327" w:rsidRPr="008228A2" w:rsidRDefault="000C5327" w:rsidP="00ED600C">
            <w:pPr>
              <w:spacing w:after="0" w:line="20" w:lineRule="atLeast"/>
              <w:jc w:val="right"/>
              <w:rPr>
                <w:rFonts w:ascii="Arial" w:hAnsi="Arial" w:cs="Arial"/>
                <w:sz w:val="20"/>
                <w:szCs w:val="20"/>
              </w:rPr>
            </w:pPr>
          </w:p>
        </w:tc>
        <w:tc>
          <w:tcPr>
            <w:tcW w:w="1560" w:type="dxa"/>
            <w:tcBorders>
              <w:top w:val="nil"/>
              <w:left w:val="nil"/>
              <w:bottom w:val="single" w:sz="4" w:space="0" w:color="auto"/>
              <w:right w:val="nil"/>
            </w:tcBorders>
            <w:shd w:val="clear" w:color="auto" w:fill="auto"/>
            <w:noWrap/>
            <w:vAlign w:val="bottom"/>
          </w:tcPr>
          <w:p w:rsidR="000C5327" w:rsidRPr="008228A2" w:rsidRDefault="000C5327" w:rsidP="00837997">
            <w:pPr>
              <w:spacing w:after="0" w:line="20" w:lineRule="atLeast"/>
              <w:jc w:val="right"/>
              <w:rPr>
                <w:rFonts w:ascii="Arial" w:hAnsi="Arial" w:cs="Arial"/>
                <w:sz w:val="20"/>
                <w:szCs w:val="20"/>
              </w:rPr>
            </w:pPr>
          </w:p>
        </w:tc>
        <w:tc>
          <w:tcPr>
            <w:tcW w:w="1417" w:type="dxa"/>
            <w:tcBorders>
              <w:top w:val="nil"/>
              <w:left w:val="nil"/>
              <w:bottom w:val="single" w:sz="4" w:space="0" w:color="auto"/>
              <w:right w:val="nil"/>
            </w:tcBorders>
            <w:shd w:val="clear" w:color="auto" w:fill="auto"/>
            <w:noWrap/>
            <w:vAlign w:val="bottom"/>
          </w:tcPr>
          <w:p w:rsidR="000C5327" w:rsidRPr="008228A2" w:rsidRDefault="000C5327" w:rsidP="00837997">
            <w:pPr>
              <w:spacing w:after="0" w:line="20" w:lineRule="atLeast"/>
              <w:jc w:val="right"/>
              <w:rPr>
                <w:rFonts w:ascii="Arial" w:hAnsi="Arial" w:cs="Arial"/>
                <w:sz w:val="20"/>
                <w:szCs w:val="20"/>
              </w:rPr>
            </w:pPr>
          </w:p>
        </w:tc>
      </w:tr>
      <w:tr w:rsidR="000C5327" w:rsidRPr="008228A2" w:rsidTr="0002752E">
        <w:trPr>
          <w:trHeight w:val="300"/>
        </w:trPr>
        <w:tc>
          <w:tcPr>
            <w:tcW w:w="4695" w:type="dxa"/>
            <w:tcBorders>
              <w:top w:val="single" w:sz="4" w:space="0" w:color="auto"/>
              <w:left w:val="nil"/>
              <w:bottom w:val="single" w:sz="4" w:space="0" w:color="auto"/>
              <w:right w:val="nil"/>
            </w:tcBorders>
            <w:shd w:val="clear" w:color="auto" w:fill="auto"/>
            <w:noWrap/>
            <w:vAlign w:val="bottom"/>
          </w:tcPr>
          <w:p w:rsidR="000C5327" w:rsidRPr="008228A2" w:rsidRDefault="000C5327" w:rsidP="008228A2">
            <w:pPr>
              <w:spacing w:after="0" w:line="20" w:lineRule="atLeast"/>
              <w:rPr>
                <w:rFonts w:ascii="Arial" w:eastAsia="Times New Roman" w:hAnsi="Arial" w:cs="Arial"/>
                <w:sz w:val="20"/>
                <w:szCs w:val="20"/>
                <w:lang w:eastAsia="en-GB"/>
              </w:rPr>
            </w:pPr>
            <w:r>
              <w:rPr>
                <w:rFonts w:ascii="Arial" w:eastAsia="Times New Roman" w:hAnsi="Arial" w:cs="Arial"/>
                <w:sz w:val="20"/>
                <w:szCs w:val="20"/>
                <w:lang w:eastAsia="en-GB"/>
              </w:rPr>
              <w:t>Total debt</w:t>
            </w:r>
          </w:p>
        </w:tc>
        <w:tc>
          <w:tcPr>
            <w:tcW w:w="1667" w:type="dxa"/>
            <w:tcBorders>
              <w:top w:val="single" w:sz="4" w:space="0" w:color="auto"/>
              <w:left w:val="nil"/>
              <w:bottom w:val="single" w:sz="4" w:space="0" w:color="auto"/>
              <w:right w:val="nil"/>
            </w:tcBorders>
            <w:shd w:val="clear" w:color="auto" w:fill="auto"/>
            <w:noWrap/>
            <w:vAlign w:val="bottom"/>
          </w:tcPr>
          <w:p w:rsidR="000C5327" w:rsidRPr="008228A2" w:rsidRDefault="000C5327" w:rsidP="00ED600C">
            <w:pPr>
              <w:spacing w:after="0" w:line="20" w:lineRule="atLeast"/>
              <w:jc w:val="right"/>
              <w:rPr>
                <w:rFonts w:ascii="Arial" w:hAnsi="Arial" w:cs="Arial"/>
                <w:sz w:val="20"/>
                <w:szCs w:val="20"/>
              </w:rPr>
            </w:pPr>
            <w:r>
              <w:rPr>
                <w:rFonts w:ascii="Arial" w:hAnsi="Arial" w:cs="Arial"/>
                <w:sz w:val="20"/>
                <w:szCs w:val="20"/>
              </w:rPr>
              <w:t>(7,288)</w:t>
            </w:r>
          </w:p>
        </w:tc>
        <w:tc>
          <w:tcPr>
            <w:tcW w:w="1560" w:type="dxa"/>
            <w:tcBorders>
              <w:top w:val="single" w:sz="4" w:space="0" w:color="auto"/>
              <w:left w:val="nil"/>
              <w:bottom w:val="single" w:sz="4" w:space="0" w:color="auto"/>
              <w:right w:val="nil"/>
            </w:tcBorders>
            <w:shd w:val="clear" w:color="auto" w:fill="auto"/>
            <w:noWrap/>
            <w:vAlign w:val="bottom"/>
          </w:tcPr>
          <w:p w:rsidR="000C5327" w:rsidRPr="008228A2" w:rsidRDefault="000C5327" w:rsidP="008228A2">
            <w:pPr>
              <w:spacing w:after="0" w:line="20" w:lineRule="atLeast"/>
              <w:jc w:val="right"/>
              <w:rPr>
                <w:rFonts w:ascii="Arial" w:hAnsi="Arial" w:cs="Arial"/>
                <w:sz w:val="20"/>
                <w:szCs w:val="20"/>
              </w:rPr>
            </w:pPr>
            <w:r>
              <w:rPr>
                <w:rFonts w:ascii="Arial" w:hAnsi="Arial" w:cs="Arial"/>
                <w:sz w:val="20"/>
                <w:szCs w:val="20"/>
              </w:rPr>
              <w:t>1,118</w:t>
            </w:r>
          </w:p>
        </w:tc>
        <w:tc>
          <w:tcPr>
            <w:tcW w:w="1417" w:type="dxa"/>
            <w:tcBorders>
              <w:top w:val="single" w:sz="4" w:space="0" w:color="auto"/>
              <w:left w:val="nil"/>
              <w:bottom w:val="single" w:sz="4" w:space="0" w:color="auto"/>
              <w:right w:val="nil"/>
            </w:tcBorders>
            <w:shd w:val="clear" w:color="auto" w:fill="auto"/>
            <w:noWrap/>
            <w:vAlign w:val="bottom"/>
          </w:tcPr>
          <w:p w:rsidR="000C5327" w:rsidRPr="008228A2" w:rsidRDefault="000C5327" w:rsidP="000C5327">
            <w:pPr>
              <w:spacing w:after="0" w:line="20" w:lineRule="atLeast"/>
              <w:jc w:val="right"/>
              <w:rPr>
                <w:rFonts w:ascii="Arial" w:hAnsi="Arial" w:cs="Arial"/>
                <w:sz w:val="20"/>
                <w:szCs w:val="20"/>
              </w:rPr>
            </w:pPr>
            <w:r>
              <w:rPr>
                <w:rFonts w:ascii="Arial" w:hAnsi="Arial" w:cs="Arial"/>
                <w:sz w:val="20"/>
                <w:szCs w:val="20"/>
              </w:rPr>
              <w:t>(6,170)</w:t>
            </w:r>
          </w:p>
        </w:tc>
      </w:tr>
      <w:tr w:rsidR="000C5327" w:rsidRPr="008228A2" w:rsidTr="0002752E">
        <w:trPr>
          <w:trHeight w:val="315"/>
        </w:trPr>
        <w:tc>
          <w:tcPr>
            <w:tcW w:w="4695" w:type="dxa"/>
            <w:tcBorders>
              <w:top w:val="single" w:sz="4" w:space="0" w:color="auto"/>
              <w:left w:val="nil"/>
              <w:bottom w:val="single" w:sz="4" w:space="0" w:color="auto"/>
              <w:right w:val="nil"/>
            </w:tcBorders>
            <w:shd w:val="clear" w:color="auto" w:fill="auto"/>
            <w:noWrap/>
            <w:vAlign w:val="bottom"/>
          </w:tcPr>
          <w:p w:rsidR="000C5327" w:rsidRPr="008228A2" w:rsidRDefault="000C5327" w:rsidP="008228A2">
            <w:pPr>
              <w:spacing w:after="0" w:line="20" w:lineRule="atLeast"/>
              <w:rPr>
                <w:rFonts w:ascii="Arial" w:eastAsia="Times New Roman" w:hAnsi="Arial" w:cs="Arial"/>
                <w:b/>
                <w:bCs/>
                <w:sz w:val="20"/>
                <w:szCs w:val="20"/>
                <w:lang w:eastAsia="en-GB"/>
              </w:rPr>
            </w:pPr>
            <w:r w:rsidRPr="008228A2">
              <w:rPr>
                <w:rFonts w:ascii="Arial" w:eastAsia="Times New Roman" w:hAnsi="Arial" w:cs="Arial"/>
                <w:b/>
                <w:bCs/>
                <w:sz w:val="20"/>
                <w:szCs w:val="20"/>
                <w:lang w:eastAsia="en-GB"/>
              </w:rPr>
              <w:t>Net debt at end of period</w:t>
            </w:r>
          </w:p>
        </w:tc>
        <w:tc>
          <w:tcPr>
            <w:tcW w:w="1667" w:type="dxa"/>
            <w:tcBorders>
              <w:top w:val="single" w:sz="4" w:space="0" w:color="auto"/>
              <w:left w:val="nil"/>
              <w:bottom w:val="single" w:sz="4" w:space="0" w:color="auto"/>
              <w:right w:val="nil"/>
            </w:tcBorders>
            <w:shd w:val="clear" w:color="auto" w:fill="auto"/>
            <w:noWrap/>
            <w:vAlign w:val="bottom"/>
          </w:tcPr>
          <w:p w:rsidR="000C5327" w:rsidRPr="008228A2" w:rsidRDefault="000C5327" w:rsidP="00ED600C">
            <w:pPr>
              <w:spacing w:after="0" w:line="20" w:lineRule="atLeast"/>
              <w:jc w:val="right"/>
              <w:rPr>
                <w:rFonts w:ascii="Arial" w:hAnsi="Arial" w:cs="Arial"/>
                <w:b/>
                <w:bCs/>
                <w:sz w:val="20"/>
                <w:szCs w:val="20"/>
              </w:rPr>
            </w:pPr>
            <w:r>
              <w:rPr>
                <w:rFonts w:ascii="Arial" w:hAnsi="Arial" w:cs="Arial"/>
                <w:b/>
                <w:bCs/>
                <w:sz w:val="20"/>
                <w:szCs w:val="20"/>
              </w:rPr>
              <w:t>4,128</w:t>
            </w:r>
          </w:p>
        </w:tc>
        <w:tc>
          <w:tcPr>
            <w:tcW w:w="1560" w:type="dxa"/>
            <w:tcBorders>
              <w:top w:val="single" w:sz="4" w:space="0" w:color="auto"/>
              <w:left w:val="nil"/>
              <w:bottom w:val="single" w:sz="4" w:space="0" w:color="auto"/>
              <w:right w:val="nil"/>
            </w:tcBorders>
            <w:shd w:val="clear" w:color="auto" w:fill="auto"/>
            <w:noWrap/>
            <w:vAlign w:val="bottom"/>
          </w:tcPr>
          <w:p w:rsidR="000C5327" w:rsidRPr="008228A2" w:rsidRDefault="000C5327" w:rsidP="008228A2">
            <w:pPr>
              <w:spacing w:after="0" w:line="20" w:lineRule="atLeast"/>
              <w:jc w:val="right"/>
              <w:rPr>
                <w:rFonts w:ascii="Arial" w:hAnsi="Arial" w:cs="Arial"/>
                <w:b/>
                <w:bCs/>
                <w:sz w:val="20"/>
                <w:szCs w:val="20"/>
              </w:rPr>
            </w:pPr>
            <w:r>
              <w:rPr>
                <w:rFonts w:ascii="Arial" w:hAnsi="Arial" w:cs="Arial"/>
                <w:b/>
                <w:bCs/>
                <w:sz w:val="20"/>
                <w:szCs w:val="20"/>
              </w:rPr>
              <w:t>(4,583)</w:t>
            </w:r>
          </w:p>
        </w:tc>
        <w:tc>
          <w:tcPr>
            <w:tcW w:w="1417" w:type="dxa"/>
            <w:tcBorders>
              <w:top w:val="single" w:sz="4" w:space="0" w:color="auto"/>
              <w:left w:val="nil"/>
              <w:bottom w:val="single" w:sz="4" w:space="0" w:color="auto"/>
              <w:right w:val="nil"/>
            </w:tcBorders>
            <w:shd w:val="clear" w:color="auto" w:fill="auto"/>
            <w:noWrap/>
            <w:vAlign w:val="bottom"/>
          </w:tcPr>
          <w:p w:rsidR="000C5327" w:rsidRPr="008228A2" w:rsidRDefault="000C5327" w:rsidP="008228A2">
            <w:pPr>
              <w:spacing w:after="0" w:line="20" w:lineRule="atLeast"/>
              <w:jc w:val="right"/>
              <w:rPr>
                <w:rFonts w:ascii="Arial" w:hAnsi="Arial" w:cs="Arial"/>
                <w:b/>
                <w:bCs/>
                <w:sz w:val="20"/>
                <w:szCs w:val="20"/>
              </w:rPr>
            </w:pPr>
            <w:r>
              <w:rPr>
                <w:rFonts w:ascii="Arial" w:hAnsi="Arial" w:cs="Arial"/>
                <w:b/>
                <w:bCs/>
                <w:sz w:val="20"/>
                <w:szCs w:val="20"/>
              </w:rPr>
              <w:t>(455)</w:t>
            </w:r>
          </w:p>
        </w:tc>
      </w:tr>
    </w:tbl>
    <w:p w:rsidR="00F0709E" w:rsidRDefault="00F0709E" w:rsidP="00F0709E">
      <w:pPr>
        <w:spacing w:after="0" w:line="240" w:lineRule="auto"/>
        <w:jc w:val="both"/>
        <w:rPr>
          <w:rFonts w:ascii="Arial" w:hAnsi="Arial" w:cs="Arial"/>
          <w:sz w:val="20"/>
          <w:szCs w:val="20"/>
        </w:rPr>
      </w:pPr>
    </w:p>
    <w:p w:rsidR="00BA0B5D" w:rsidRDefault="00BA0B5D" w:rsidP="00F0709E">
      <w:pPr>
        <w:spacing w:after="0" w:line="240" w:lineRule="auto"/>
        <w:jc w:val="both"/>
        <w:rPr>
          <w:rFonts w:ascii="Arial" w:hAnsi="Arial" w:cs="Arial"/>
          <w:sz w:val="20"/>
          <w:szCs w:val="20"/>
        </w:rPr>
      </w:pPr>
    </w:p>
    <w:p w:rsidR="00191DA8" w:rsidRPr="00191DA8" w:rsidRDefault="00341B1A" w:rsidP="00F0709E">
      <w:pPr>
        <w:spacing w:after="0" w:line="240" w:lineRule="auto"/>
        <w:jc w:val="both"/>
        <w:rPr>
          <w:rFonts w:ascii="Arial" w:hAnsi="Arial" w:cs="Arial"/>
          <w:b/>
          <w:sz w:val="20"/>
          <w:szCs w:val="20"/>
        </w:rPr>
      </w:pPr>
      <w:r w:rsidRPr="00191DA8">
        <w:rPr>
          <w:rFonts w:ascii="Arial" w:hAnsi="Arial" w:cs="Arial"/>
          <w:b/>
          <w:sz w:val="20"/>
          <w:szCs w:val="20"/>
        </w:rPr>
        <w:t>7</w:t>
      </w:r>
      <w:r w:rsidR="00BF40F1">
        <w:rPr>
          <w:rFonts w:ascii="Arial" w:hAnsi="Arial" w:cs="Arial"/>
          <w:b/>
          <w:sz w:val="20"/>
          <w:szCs w:val="20"/>
        </w:rPr>
        <w:t xml:space="preserve">. </w:t>
      </w:r>
      <w:r w:rsidR="002E5564">
        <w:rPr>
          <w:rFonts w:ascii="Arial" w:hAnsi="Arial" w:cs="Arial"/>
          <w:b/>
          <w:sz w:val="20"/>
          <w:szCs w:val="20"/>
        </w:rPr>
        <w:tab/>
      </w:r>
      <w:r w:rsidR="00BF40F1">
        <w:rPr>
          <w:rFonts w:ascii="Arial" w:hAnsi="Arial" w:cs="Arial"/>
          <w:b/>
          <w:sz w:val="20"/>
          <w:szCs w:val="20"/>
        </w:rPr>
        <w:t>Final</w:t>
      </w:r>
      <w:r w:rsidRPr="00191DA8">
        <w:rPr>
          <w:rFonts w:ascii="Arial" w:hAnsi="Arial" w:cs="Arial"/>
          <w:b/>
          <w:sz w:val="20"/>
          <w:szCs w:val="20"/>
        </w:rPr>
        <w:t xml:space="preserve"> </w:t>
      </w:r>
      <w:r w:rsidR="00191DA8" w:rsidRPr="00191DA8">
        <w:rPr>
          <w:rFonts w:ascii="Arial" w:hAnsi="Arial" w:cs="Arial"/>
          <w:b/>
          <w:sz w:val="20"/>
          <w:szCs w:val="20"/>
        </w:rPr>
        <w:t>Dividend</w:t>
      </w:r>
      <w:r w:rsidR="00BF40F1">
        <w:rPr>
          <w:rFonts w:ascii="Arial" w:hAnsi="Arial" w:cs="Arial"/>
          <w:b/>
          <w:sz w:val="20"/>
          <w:szCs w:val="20"/>
        </w:rPr>
        <w:t xml:space="preserve"> of 7.5 pence.</w:t>
      </w:r>
    </w:p>
    <w:p w:rsidR="00191DA8" w:rsidRDefault="00191DA8" w:rsidP="00F0709E">
      <w:pPr>
        <w:spacing w:after="0" w:line="240" w:lineRule="auto"/>
        <w:jc w:val="both"/>
        <w:rPr>
          <w:rFonts w:ascii="Arial" w:hAnsi="Arial" w:cs="Arial"/>
          <w:sz w:val="20"/>
          <w:szCs w:val="20"/>
        </w:rPr>
      </w:pPr>
    </w:p>
    <w:p w:rsidR="00BA0B5D" w:rsidRPr="007B4511" w:rsidRDefault="00341B1A" w:rsidP="00F0709E">
      <w:pPr>
        <w:spacing w:after="0" w:line="240" w:lineRule="auto"/>
        <w:jc w:val="both"/>
        <w:rPr>
          <w:rFonts w:ascii="Arial" w:hAnsi="Arial" w:cs="Arial"/>
          <w:sz w:val="20"/>
          <w:szCs w:val="20"/>
        </w:rPr>
      </w:pPr>
      <w:r w:rsidRPr="00B06AC4">
        <w:rPr>
          <w:rFonts w:ascii="Arial" w:hAnsi="Arial" w:cs="Arial"/>
          <w:sz w:val="20"/>
          <w:szCs w:val="20"/>
        </w:rPr>
        <w:t>The Directors recommend a dividend of 7.5p per share (</w:t>
      </w:r>
      <w:r w:rsidR="00694326">
        <w:rPr>
          <w:rFonts w:ascii="Arial" w:hAnsi="Arial" w:cs="Arial"/>
          <w:i/>
          <w:sz w:val="20"/>
          <w:szCs w:val="20"/>
        </w:rPr>
        <w:t>2013: 7.</w:t>
      </w:r>
      <w:r w:rsidR="000C5327">
        <w:rPr>
          <w:rFonts w:ascii="Arial" w:hAnsi="Arial" w:cs="Arial"/>
          <w:i/>
          <w:sz w:val="20"/>
          <w:szCs w:val="20"/>
        </w:rPr>
        <w:t>5</w:t>
      </w:r>
      <w:r w:rsidRPr="00B06AC4">
        <w:rPr>
          <w:rFonts w:ascii="Arial" w:hAnsi="Arial" w:cs="Arial"/>
          <w:i/>
          <w:sz w:val="20"/>
          <w:szCs w:val="20"/>
        </w:rPr>
        <w:t>p</w:t>
      </w:r>
      <w:r w:rsidRPr="00B06AC4">
        <w:rPr>
          <w:rFonts w:ascii="Arial" w:hAnsi="Arial" w:cs="Arial"/>
          <w:sz w:val="20"/>
          <w:szCs w:val="20"/>
        </w:rPr>
        <w:t>) which, if approved by shareholders at the forthcoming Annual General Meeting</w:t>
      </w:r>
      <w:r w:rsidR="00047E65">
        <w:rPr>
          <w:rFonts w:ascii="Arial" w:hAnsi="Arial" w:cs="Arial"/>
          <w:sz w:val="20"/>
          <w:szCs w:val="20"/>
        </w:rPr>
        <w:t xml:space="preserve"> on 4 September</w:t>
      </w:r>
      <w:r w:rsidR="0012471C">
        <w:rPr>
          <w:rFonts w:ascii="Arial" w:hAnsi="Arial" w:cs="Arial"/>
          <w:sz w:val="20"/>
          <w:szCs w:val="20"/>
        </w:rPr>
        <w:t xml:space="preserve"> 2014</w:t>
      </w:r>
      <w:r w:rsidR="009A0CE6">
        <w:rPr>
          <w:rFonts w:ascii="Arial" w:hAnsi="Arial" w:cs="Arial"/>
          <w:sz w:val="20"/>
          <w:szCs w:val="20"/>
        </w:rPr>
        <w:t>,</w:t>
      </w:r>
      <w:r w:rsidR="000C5327">
        <w:rPr>
          <w:rFonts w:ascii="Arial" w:hAnsi="Arial" w:cs="Arial"/>
          <w:sz w:val="20"/>
          <w:szCs w:val="20"/>
        </w:rPr>
        <w:t xml:space="preserve"> will be paid on 19 September 2014</w:t>
      </w:r>
      <w:r w:rsidRPr="00B06AC4">
        <w:rPr>
          <w:rFonts w:ascii="Arial" w:hAnsi="Arial" w:cs="Arial"/>
          <w:sz w:val="20"/>
          <w:szCs w:val="20"/>
        </w:rPr>
        <w:t xml:space="preserve"> to shareholders on the register at </w:t>
      </w:r>
      <w:r w:rsidR="00BF4083">
        <w:rPr>
          <w:rFonts w:ascii="Arial" w:hAnsi="Arial" w:cs="Arial"/>
          <w:sz w:val="20"/>
          <w:szCs w:val="20"/>
        </w:rPr>
        <w:t xml:space="preserve">the </w:t>
      </w:r>
      <w:r w:rsidR="000C5327">
        <w:rPr>
          <w:rFonts w:ascii="Arial" w:hAnsi="Arial" w:cs="Arial"/>
          <w:sz w:val="20"/>
          <w:szCs w:val="20"/>
        </w:rPr>
        <w:t>close of business on 29 August 2014</w:t>
      </w:r>
      <w:r w:rsidRPr="00B06AC4">
        <w:rPr>
          <w:rFonts w:ascii="Arial" w:hAnsi="Arial" w:cs="Arial"/>
          <w:sz w:val="20"/>
          <w:szCs w:val="20"/>
        </w:rPr>
        <w:t>.</w:t>
      </w:r>
    </w:p>
    <w:sectPr w:rsidR="00BA0B5D" w:rsidRPr="007B4511" w:rsidSect="00195237">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9A" w:rsidRDefault="004B269A" w:rsidP="008960A7">
      <w:pPr>
        <w:spacing w:after="0" w:line="240" w:lineRule="auto"/>
      </w:pPr>
      <w:r>
        <w:separator/>
      </w:r>
    </w:p>
  </w:endnote>
  <w:endnote w:type="continuationSeparator" w:id="0">
    <w:p w:rsidR="004B269A" w:rsidRDefault="004B269A" w:rsidP="0089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53426"/>
      <w:docPartObj>
        <w:docPartGallery w:val="Page Numbers (Bottom of Page)"/>
        <w:docPartUnique/>
      </w:docPartObj>
    </w:sdtPr>
    <w:sdtEndPr>
      <w:rPr>
        <w:noProof/>
      </w:rPr>
    </w:sdtEndPr>
    <w:sdtContent>
      <w:p w:rsidR="00DA414F" w:rsidRDefault="00DA414F">
        <w:pPr>
          <w:pStyle w:val="Footer"/>
          <w:jc w:val="center"/>
        </w:pPr>
        <w:r>
          <w:fldChar w:fldCharType="begin"/>
        </w:r>
        <w:r>
          <w:instrText xml:space="preserve"> PAGE   \* MERGEFORMAT </w:instrText>
        </w:r>
        <w:r>
          <w:fldChar w:fldCharType="separate"/>
        </w:r>
        <w:r w:rsidR="00292F46">
          <w:rPr>
            <w:noProof/>
          </w:rPr>
          <w:t>2</w:t>
        </w:r>
        <w:r>
          <w:rPr>
            <w:noProof/>
          </w:rPr>
          <w:fldChar w:fldCharType="end"/>
        </w:r>
      </w:p>
    </w:sdtContent>
  </w:sdt>
  <w:p w:rsidR="00DA414F" w:rsidRDefault="00DA4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9A" w:rsidRDefault="004B269A" w:rsidP="008960A7">
      <w:pPr>
        <w:spacing w:after="0" w:line="240" w:lineRule="auto"/>
      </w:pPr>
      <w:r>
        <w:separator/>
      </w:r>
    </w:p>
  </w:footnote>
  <w:footnote w:type="continuationSeparator" w:id="0">
    <w:p w:rsidR="004B269A" w:rsidRDefault="004B269A" w:rsidP="00896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05ED6"/>
    <w:lvl w:ilvl="0">
      <w:start w:val="1"/>
      <w:numFmt w:val="decimal"/>
      <w:lvlText w:val="%1."/>
      <w:lvlJc w:val="left"/>
      <w:pPr>
        <w:tabs>
          <w:tab w:val="num" w:pos="1492"/>
        </w:tabs>
        <w:ind w:left="1492" w:hanging="360"/>
      </w:pPr>
    </w:lvl>
  </w:abstractNum>
  <w:abstractNum w:abstractNumId="1">
    <w:nsid w:val="FFFFFF7D"/>
    <w:multiLevelType w:val="singleLevel"/>
    <w:tmpl w:val="0D5A7370"/>
    <w:lvl w:ilvl="0">
      <w:start w:val="1"/>
      <w:numFmt w:val="decimal"/>
      <w:lvlText w:val="%1."/>
      <w:lvlJc w:val="left"/>
      <w:pPr>
        <w:tabs>
          <w:tab w:val="num" w:pos="1209"/>
        </w:tabs>
        <w:ind w:left="1209" w:hanging="360"/>
      </w:pPr>
    </w:lvl>
  </w:abstractNum>
  <w:abstractNum w:abstractNumId="2">
    <w:nsid w:val="FFFFFF7E"/>
    <w:multiLevelType w:val="singleLevel"/>
    <w:tmpl w:val="3F201DA4"/>
    <w:lvl w:ilvl="0">
      <w:start w:val="1"/>
      <w:numFmt w:val="decimal"/>
      <w:lvlText w:val="%1."/>
      <w:lvlJc w:val="left"/>
      <w:pPr>
        <w:tabs>
          <w:tab w:val="num" w:pos="926"/>
        </w:tabs>
        <w:ind w:left="926" w:hanging="360"/>
      </w:pPr>
    </w:lvl>
  </w:abstractNum>
  <w:abstractNum w:abstractNumId="3">
    <w:nsid w:val="FFFFFF7F"/>
    <w:multiLevelType w:val="singleLevel"/>
    <w:tmpl w:val="2AA692C2"/>
    <w:lvl w:ilvl="0">
      <w:start w:val="1"/>
      <w:numFmt w:val="decimal"/>
      <w:lvlText w:val="%1."/>
      <w:lvlJc w:val="left"/>
      <w:pPr>
        <w:tabs>
          <w:tab w:val="num" w:pos="643"/>
        </w:tabs>
        <w:ind w:left="643" w:hanging="360"/>
      </w:pPr>
    </w:lvl>
  </w:abstractNum>
  <w:abstractNum w:abstractNumId="4">
    <w:nsid w:val="FFFFFF80"/>
    <w:multiLevelType w:val="singleLevel"/>
    <w:tmpl w:val="72FEF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A68A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E8C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FEF2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9A1D80"/>
    <w:lvl w:ilvl="0">
      <w:start w:val="1"/>
      <w:numFmt w:val="decimal"/>
      <w:lvlText w:val="%1."/>
      <w:lvlJc w:val="left"/>
      <w:pPr>
        <w:tabs>
          <w:tab w:val="num" w:pos="360"/>
        </w:tabs>
        <w:ind w:left="360" w:hanging="360"/>
      </w:pPr>
    </w:lvl>
  </w:abstractNum>
  <w:abstractNum w:abstractNumId="9">
    <w:nsid w:val="FFFFFF89"/>
    <w:multiLevelType w:val="singleLevel"/>
    <w:tmpl w:val="6E1A4474"/>
    <w:lvl w:ilvl="0">
      <w:start w:val="1"/>
      <w:numFmt w:val="bullet"/>
      <w:lvlText w:val=""/>
      <w:lvlJc w:val="left"/>
      <w:pPr>
        <w:tabs>
          <w:tab w:val="num" w:pos="360"/>
        </w:tabs>
        <w:ind w:left="360" w:hanging="360"/>
      </w:pPr>
      <w:rPr>
        <w:rFonts w:ascii="Symbol" w:hAnsi="Symbol" w:hint="default"/>
      </w:rPr>
    </w:lvl>
  </w:abstractNum>
  <w:abstractNum w:abstractNumId="1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066894"/>
    <w:multiLevelType w:val="hybridMultilevel"/>
    <w:tmpl w:val="94C03372"/>
    <w:lvl w:ilvl="0" w:tplc="743CC722">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0E605B6"/>
    <w:multiLevelType w:val="hybridMultilevel"/>
    <w:tmpl w:val="A3D23EC0"/>
    <w:lvl w:ilvl="0" w:tplc="743CC7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3EE4A06"/>
    <w:multiLevelType w:val="hybridMultilevel"/>
    <w:tmpl w:val="3490E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6AF7C00"/>
    <w:multiLevelType w:val="hybridMultilevel"/>
    <w:tmpl w:val="BBCA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C77684"/>
    <w:multiLevelType w:val="hybridMultilevel"/>
    <w:tmpl w:val="0B7C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3C3C79"/>
    <w:multiLevelType w:val="hybridMultilevel"/>
    <w:tmpl w:val="528881EE"/>
    <w:lvl w:ilvl="0" w:tplc="743CC7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C4743F"/>
    <w:multiLevelType w:val="hybridMultilevel"/>
    <w:tmpl w:val="F9164326"/>
    <w:lvl w:ilvl="0" w:tplc="3B42E74C">
      <w:start w:val="4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8E7208"/>
    <w:multiLevelType w:val="hybridMultilevel"/>
    <w:tmpl w:val="BCA0D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300453"/>
    <w:multiLevelType w:val="hybridMultilevel"/>
    <w:tmpl w:val="177693B0"/>
    <w:lvl w:ilvl="0" w:tplc="743CC7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781475C"/>
    <w:multiLevelType w:val="hybridMultilevel"/>
    <w:tmpl w:val="A462EC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9812F0"/>
    <w:multiLevelType w:val="hybridMultilevel"/>
    <w:tmpl w:val="D65891C0"/>
    <w:lvl w:ilvl="0" w:tplc="F9D60EEC">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430B28"/>
    <w:multiLevelType w:val="hybridMultilevel"/>
    <w:tmpl w:val="4F2E0B02"/>
    <w:lvl w:ilvl="0" w:tplc="08090001">
      <w:start w:val="1"/>
      <w:numFmt w:val="bullet"/>
      <w:lvlText w:val=""/>
      <w:lvlJc w:val="left"/>
      <w:pPr>
        <w:tabs>
          <w:tab w:val="num" w:pos="855"/>
        </w:tabs>
        <w:ind w:left="855" w:hanging="360"/>
      </w:pPr>
      <w:rPr>
        <w:rFonts w:ascii="Symbol" w:hAnsi="Symbol" w:hint="default"/>
      </w:rPr>
    </w:lvl>
    <w:lvl w:ilvl="1" w:tplc="08090003" w:tentative="1">
      <w:start w:val="1"/>
      <w:numFmt w:val="bullet"/>
      <w:lvlText w:val="o"/>
      <w:lvlJc w:val="left"/>
      <w:pPr>
        <w:tabs>
          <w:tab w:val="num" w:pos="1575"/>
        </w:tabs>
        <w:ind w:left="1575" w:hanging="360"/>
      </w:pPr>
      <w:rPr>
        <w:rFonts w:ascii="Courier New" w:hAnsi="Courier New" w:cs="Courier New" w:hint="default"/>
      </w:rPr>
    </w:lvl>
    <w:lvl w:ilvl="2" w:tplc="08090005" w:tentative="1">
      <w:start w:val="1"/>
      <w:numFmt w:val="bullet"/>
      <w:lvlText w:val=""/>
      <w:lvlJc w:val="left"/>
      <w:pPr>
        <w:tabs>
          <w:tab w:val="num" w:pos="2295"/>
        </w:tabs>
        <w:ind w:left="2295" w:hanging="360"/>
      </w:pPr>
      <w:rPr>
        <w:rFonts w:ascii="Wingdings" w:hAnsi="Wingdings" w:hint="default"/>
      </w:rPr>
    </w:lvl>
    <w:lvl w:ilvl="3" w:tplc="08090001" w:tentative="1">
      <w:start w:val="1"/>
      <w:numFmt w:val="bullet"/>
      <w:lvlText w:val=""/>
      <w:lvlJc w:val="left"/>
      <w:pPr>
        <w:tabs>
          <w:tab w:val="num" w:pos="3015"/>
        </w:tabs>
        <w:ind w:left="3015" w:hanging="360"/>
      </w:pPr>
      <w:rPr>
        <w:rFonts w:ascii="Symbol" w:hAnsi="Symbol" w:hint="default"/>
      </w:rPr>
    </w:lvl>
    <w:lvl w:ilvl="4" w:tplc="08090003" w:tentative="1">
      <w:start w:val="1"/>
      <w:numFmt w:val="bullet"/>
      <w:lvlText w:val="o"/>
      <w:lvlJc w:val="left"/>
      <w:pPr>
        <w:tabs>
          <w:tab w:val="num" w:pos="3735"/>
        </w:tabs>
        <w:ind w:left="3735" w:hanging="360"/>
      </w:pPr>
      <w:rPr>
        <w:rFonts w:ascii="Courier New" w:hAnsi="Courier New" w:cs="Courier New" w:hint="default"/>
      </w:rPr>
    </w:lvl>
    <w:lvl w:ilvl="5" w:tplc="08090005" w:tentative="1">
      <w:start w:val="1"/>
      <w:numFmt w:val="bullet"/>
      <w:lvlText w:val=""/>
      <w:lvlJc w:val="left"/>
      <w:pPr>
        <w:tabs>
          <w:tab w:val="num" w:pos="4455"/>
        </w:tabs>
        <w:ind w:left="4455" w:hanging="360"/>
      </w:pPr>
      <w:rPr>
        <w:rFonts w:ascii="Wingdings" w:hAnsi="Wingdings" w:hint="default"/>
      </w:rPr>
    </w:lvl>
    <w:lvl w:ilvl="6" w:tplc="08090001" w:tentative="1">
      <w:start w:val="1"/>
      <w:numFmt w:val="bullet"/>
      <w:lvlText w:val=""/>
      <w:lvlJc w:val="left"/>
      <w:pPr>
        <w:tabs>
          <w:tab w:val="num" w:pos="5175"/>
        </w:tabs>
        <w:ind w:left="5175" w:hanging="360"/>
      </w:pPr>
      <w:rPr>
        <w:rFonts w:ascii="Symbol" w:hAnsi="Symbol" w:hint="default"/>
      </w:rPr>
    </w:lvl>
    <w:lvl w:ilvl="7" w:tplc="08090003" w:tentative="1">
      <w:start w:val="1"/>
      <w:numFmt w:val="bullet"/>
      <w:lvlText w:val="o"/>
      <w:lvlJc w:val="left"/>
      <w:pPr>
        <w:tabs>
          <w:tab w:val="num" w:pos="5895"/>
        </w:tabs>
        <w:ind w:left="5895" w:hanging="360"/>
      </w:pPr>
      <w:rPr>
        <w:rFonts w:ascii="Courier New" w:hAnsi="Courier New" w:cs="Courier New" w:hint="default"/>
      </w:rPr>
    </w:lvl>
    <w:lvl w:ilvl="8" w:tplc="08090005" w:tentative="1">
      <w:start w:val="1"/>
      <w:numFmt w:val="bullet"/>
      <w:lvlText w:val=""/>
      <w:lvlJc w:val="left"/>
      <w:pPr>
        <w:tabs>
          <w:tab w:val="num" w:pos="6615"/>
        </w:tabs>
        <w:ind w:left="6615" w:hanging="360"/>
      </w:pPr>
      <w:rPr>
        <w:rFonts w:ascii="Wingdings" w:hAnsi="Wingdings" w:hint="default"/>
      </w:rPr>
    </w:lvl>
  </w:abstractNum>
  <w:abstractNum w:abstractNumId="24">
    <w:nsid w:val="665A5505"/>
    <w:multiLevelType w:val="hybridMultilevel"/>
    <w:tmpl w:val="7A78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D76644"/>
    <w:multiLevelType w:val="hybridMultilevel"/>
    <w:tmpl w:val="141491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87861AB"/>
    <w:multiLevelType w:val="hybridMultilevel"/>
    <w:tmpl w:val="87960216"/>
    <w:lvl w:ilvl="0" w:tplc="9BC687C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2347DA"/>
    <w:multiLevelType w:val="hybridMultilevel"/>
    <w:tmpl w:val="7B308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27"/>
  </w:num>
  <w:num w:numId="4">
    <w:abstractNumId w:val="1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7"/>
  </w:num>
  <w:num w:numId="18">
    <w:abstractNumId w:val="12"/>
  </w:num>
  <w:num w:numId="19">
    <w:abstractNumId w:val="13"/>
  </w:num>
  <w:num w:numId="20">
    <w:abstractNumId w:val="19"/>
  </w:num>
  <w:num w:numId="21">
    <w:abstractNumId w:val="26"/>
  </w:num>
  <w:num w:numId="22">
    <w:abstractNumId w:val="18"/>
  </w:num>
  <w:num w:numId="23">
    <w:abstractNumId w:val="15"/>
  </w:num>
  <w:num w:numId="24">
    <w:abstractNumId w:val="10"/>
  </w:num>
  <w:num w:numId="25">
    <w:abstractNumId w:val="11"/>
  </w:num>
  <w:num w:numId="26">
    <w:abstractNumId w:val="16"/>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51"/>
    <w:rsid w:val="00002876"/>
    <w:rsid w:val="00007E03"/>
    <w:rsid w:val="0001257E"/>
    <w:rsid w:val="00025898"/>
    <w:rsid w:val="0002752E"/>
    <w:rsid w:val="00031696"/>
    <w:rsid w:val="0003310D"/>
    <w:rsid w:val="000369D8"/>
    <w:rsid w:val="00047E65"/>
    <w:rsid w:val="00060DA7"/>
    <w:rsid w:val="00066C43"/>
    <w:rsid w:val="000672E9"/>
    <w:rsid w:val="0007315E"/>
    <w:rsid w:val="00080859"/>
    <w:rsid w:val="00081E0B"/>
    <w:rsid w:val="000930BA"/>
    <w:rsid w:val="000A7C61"/>
    <w:rsid w:val="000B49A5"/>
    <w:rsid w:val="000C10BA"/>
    <w:rsid w:val="000C5327"/>
    <w:rsid w:val="000C5CEA"/>
    <w:rsid w:val="000D6423"/>
    <w:rsid w:val="000F0431"/>
    <w:rsid w:val="000F4240"/>
    <w:rsid w:val="000F73D2"/>
    <w:rsid w:val="00112CC2"/>
    <w:rsid w:val="0012471C"/>
    <w:rsid w:val="0013007D"/>
    <w:rsid w:val="00130E3A"/>
    <w:rsid w:val="00131AF2"/>
    <w:rsid w:val="00134D28"/>
    <w:rsid w:val="00146AF4"/>
    <w:rsid w:val="0015008B"/>
    <w:rsid w:val="00152055"/>
    <w:rsid w:val="00162697"/>
    <w:rsid w:val="0016399B"/>
    <w:rsid w:val="0017607A"/>
    <w:rsid w:val="00181191"/>
    <w:rsid w:val="0018160B"/>
    <w:rsid w:val="001902F3"/>
    <w:rsid w:val="00191DA8"/>
    <w:rsid w:val="00194F34"/>
    <w:rsid w:val="00195237"/>
    <w:rsid w:val="001A0BD1"/>
    <w:rsid w:val="001A1DC0"/>
    <w:rsid w:val="001A31F3"/>
    <w:rsid w:val="001B53A8"/>
    <w:rsid w:val="001C1AA7"/>
    <w:rsid w:val="001C6FA8"/>
    <w:rsid w:val="001D6E1D"/>
    <w:rsid w:val="002042FF"/>
    <w:rsid w:val="00206132"/>
    <w:rsid w:val="00221D5C"/>
    <w:rsid w:val="00242A92"/>
    <w:rsid w:val="00244073"/>
    <w:rsid w:val="00246828"/>
    <w:rsid w:val="00261720"/>
    <w:rsid w:val="00263698"/>
    <w:rsid w:val="00292F46"/>
    <w:rsid w:val="002A07CC"/>
    <w:rsid w:val="002A187E"/>
    <w:rsid w:val="002A24CC"/>
    <w:rsid w:val="002A2727"/>
    <w:rsid w:val="002B1435"/>
    <w:rsid w:val="002D61DB"/>
    <w:rsid w:val="002E5564"/>
    <w:rsid w:val="002F0C21"/>
    <w:rsid w:val="002F561D"/>
    <w:rsid w:val="00302EEA"/>
    <w:rsid w:val="00305E47"/>
    <w:rsid w:val="0031169F"/>
    <w:rsid w:val="00311E75"/>
    <w:rsid w:val="00312CE7"/>
    <w:rsid w:val="003136D4"/>
    <w:rsid w:val="003231E5"/>
    <w:rsid w:val="003248D3"/>
    <w:rsid w:val="0032540A"/>
    <w:rsid w:val="003269D9"/>
    <w:rsid w:val="00341B1A"/>
    <w:rsid w:val="00360CDF"/>
    <w:rsid w:val="00367AFF"/>
    <w:rsid w:val="00380ECD"/>
    <w:rsid w:val="0038115F"/>
    <w:rsid w:val="003838DC"/>
    <w:rsid w:val="00397715"/>
    <w:rsid w:val="003A1E5E"/>
    <w:rsid w:val="003A44CF"/>
    <w:rsid w:val="003B1452"/>
    <w:rsid w:val="003B32C3"/>
    <w:rsid w:val="003C69E2"/>
    <w:rsid w:val="003C7967"/>
    <w:rsid w:val="003D17BF"/>
    <w:rsid w:val="003D2EFD"/>
    <w:rsid w:val="003D7D20"/>
    <w:rsid w:val="003E0C06"/>
    <w:rsid w:val="003E44EB"/>
    <w:rsid w:val="003F6B07"/>
    <w:rsid w:val="003F6FA5"/>
    <w:rsid w:val="00401CAA"/>
    <w:rsid w:val="004036E9"/>
    <w:rsid w:val="00426200"/>
    <w:rsid w:val="00426D82"/>
    <w:rsid w:val="004343B4"/>
    <w:rsid w:val="00436885"/>
    <w:rsid w:val="00443362"/>
    <w:rsid w:val="00452126"/>
    <w:rsid w:val="00453B28"/>
    <w:rsid w:val="00462877"/>
    <w:rsid w:val="0047302E"/>
    <w:rsid w:val="00473462"/>
    <w:rsid w:val="004A4E98"/>
    <w:rsid w:val="004B269A"/>
    <w:rsid w:val="004B7139"/>
    <w:rsid w:val="004C07BA"/>
    <w:rsid w:val="004C4692"/>
    <w:rsid w:val="004C7173"/>
    <w:rsid w:val="004D2093"/>
    <w:rsid w:val="004D2690"/>
    <w:rsid w:val="004D726A"/>
    <w:rsid w:val="004E0D90"/>
    <w:rsid w:val="004E44D4"/>
    <w:rsid w:val="004F3CEA"/>
    <w:rsid w:val="005250A9"/>
    <w:rsid w:val="005309CC"/>
    <w:rsid w:val="005515E7"/>
    <w:rsid w:val="00592B78"/>
    <w:rsid w:val="005A2655"/>
    <w:rsid w:val="005A5EFE"/>
    <w:rsid w:val="005A6661"/>
    <w:rsid w:val="005A6B31"/>
    <w:rsid w:val="005B15D2"/>
    <w:rsid w:val="005C1E35"/>
    <w:rsid w:val="005D0F8D"/>
    <w:rsid w:val="005D5F77"/>
    <w:rsid w:val="005E1DFA"/>
    <w:rsid w:val="005E67DD"/>
    <w:rsid w:val="005F26D2"/>
    <w:rsid w:val="005F358C"/>
    <w:rsid w:val="006346B2"/>
    <w:rsid w:val="00651307"/>
    <w:rsid w:val="00654952"/>
    <w:rsid w:val="0065694D"/>
    <w:rsid w:val="0066687F"/>
    <w:rsid w:val="00676273"/>
    <w:rsid w:val="00684030"/>
    <w:rsid w:val="006856B0"/>
    <w:rsid w:val="00694326"/>
    <w:rsid w:val="006B6CE9"/>
    <w:rsid w:val="006C1CF7"/>
    <w:rsid w:val="006C2A4B"/>
    <w:rsid w:val="006D6704"/>
    <w:rsid w:val="006E2AD0"/>
    <w:rsid w:val="007049AF"/>
    <w:rsid w:val="00704DEF"/>
    <w:rsid w:val="0072256B"/>
    <w:rsid w:val="00726BF5"/>
    <w:rsid w:val="0072723F"/>
    <w:rsid w:val="00730672"/>
    <w:rsid w:val="00732CBB"/>
    <w:rsid w:val="00734AA2"/>
    <w:rsid w:val="007454DF"/>
    <w:rsid w:val="007635EB"/>
    <w:rsid w:val="00767A96"/>
    <w:rsid w:val="00790B93"/>
    <w:rsid w:val="007953F7"/>
    <w:rsid w:val="00797C10"/>
    <w:rsid w:val="007A35A2"/>
    <w:rsid w:val="007A43CD"/>
    <w:rsid w:val="007A4CA5"/>
    <w:rsid w:val="007B1534"/>
    <w:rsid w:val="007B4511"/>
    <w:rsid w:val="007C5B43"/>
    <w:rsid w:val="007D2236"/>
    <w:rsid w:val="007D65CF"/>
    <w:rsid w:val="007E1B8E"/>
    <w:rsid w:val="007F0B59"/>
    <w:rsid w:val="007F26CF"/>
    <w:rsid w:val="007F34F2"/>
    <w:rsid w:val="007F6559"/>
    <w:rsid w:val="00812B39"/>
    <w:rsid w:val="00822125"/>
    <w:rsid w:val="008228A2"/>
    <w:rsid w:val="00823B20"/>
    <w:rsid w:val="0083225B"/>
    <w:rsid w:val="00837997"/>
    <w:rsid w:val="0084193E"/>
    <w:rsid w:val="00843914"/>
    <w:rsid w:val="008529EE"/>
    <w:rsid w:val="00854D68"/>
    <w:rsid w:val="00860682"/>
    <w:rsid w:val="008636AD"/>
    <w:rsid w:val="008644F3"/>
    <w:rsid w:val="00865382"/>
    <w:rsid w:val="00872493"/>
    <w:rsid w:val="00875418"/>
    <w:rsid w:val="008824D2"/>
    <w:rsid w:val="00882557"/>
    <w:rsid w:val="008935FE"/>
    <w:rsid w:val="008960A7"/>
    <w:rsid w:val="008C68C4"/>
    <w:rsid w:val="008D108C"/>
    <w:rsid w:val="008D1AED"/>
    <w:rsid w:val="008E35BF"/>
    <w:rsid w:val="008E78E9"/>
    <w:rsid w:val="00902660"/>
    <w:rsid w:val="00914BEC"/>
    <w:rsid w:val="00942E4C"/>
    <w:rsid w:val="009439F0"/>
    <w:rsid w:val="009458BE"/>
    <w:rsid w:val="00947375"/>
    <w:rsid w:val="0097146D"/>
    <w:rsid w:val="00971B6D"/>
    <w:rsid w:val="00971C0F"/>
    <w:rsid w:val="0097482A"/>
    <w:rsid w:val="00984CAC"/>
    <w:rsid w:val="009A0CE6"/>
    <w:rsid w:val="009A0F3C"/>
    <w:rsid w:val="009A640F"/>
    <w:rsid w:val="009C3F5C"/>
    <w:rsid w:val="009E3D0A"/>
    <w:rsid w:val="009E7E0E"/>
    <w:rsid w:val="009F26A2"/>
    <w:rsid w:val="009F77FD"/>
    <w:rsid w:val="00A01EA0"/>
    <w:rsid w:val="00A02DA9"/>
    <w:rsid w:val="00A1273C"/>
    <w:rsid w:val="00A15300"/>
    <w:rsid w:val="00A25590"/>
    <w:rsid w:val="00A25F02"/>
    <w:rsid w:val="00A42300"/>
    <w:rsid w:val="00A45DD1"/>
    <w:rsid w:val="00A50CA0"/>
    <w:rsid w:val="00A51957"/>
    <w:rsid w:val="00A8443F"/>
    <w:rsid w:val="00A847A3"/>
    <w:rsid w:val="00A93F3A"/>
    <w:rsid w:val="00AB2944"/>
    <w:rsid w:val="00AD24F0"/>
    <w:rsid w:val="00AD5A80"/>
    <w:rsid w:val="00AE092C"/>
    <w:rsid w:val="00AE0BF8"/>
    <w:rsid w:val="00AE1AA1"/>
    <w:rsid w:val="00AE2E98"/>
    <w:rsid w:val="00AE37C9"/>
    <w:rsid w:val="00AE54CA"/>
    <w:rsid w:val="00AF054C"/>
    <w:rsid w:val="00AF2A02"/>
    <w:rsid w:val="00AF2E0E"/>
    <w:rsid w:val="00B05C69"/>
    <w:rsid w:val="00B114C6"/>
    <w:rsid w:val="00B159AF"/>
    <w:rsid w:val="00B220F0"/>
    <w:rsid w:val="00B23186"/>
    <w:rsid w:val="00B371F0"/>
    <w:rsid w:val="00B47E87"/>
    <w:rsid w:val="00B65F83"/>
    <w:rsid w:val="00B7148E"/>
    <w:rsid w:val="00B8085D"/>
    <w:rsid w:val="00B91A17"/>
    <w:rsid w:val="00B91B66"/>
    <w:rsid w:val="00B91E27"/>
    <w:rsid w:val="00BA0B5D"/>
    <w:rsid w:val="00BC0E13"/>
    <w:rsid w:val="00BC2189"/>
    <w:rsid w:val="00BD7714"/>
    <w:rsid w:val="00BF2426"/>
    <w:rsid w:val="00BF2805"/>
    <w:rsid w:val="00BF2807"/>
    <w:rsid w:val="00BF4083"/>
    <w:rsid w:val="00BF40F1"/>
    <w:rsid w:val="00BF49E7"/>
    <w:rsid w:val="00C0476E"/>
    <w:rsid w:val="00C1116E"/>
    <w:rsid w:val="00C15E0A"/>
    <w:rsid w:val="00C35BFB"/>
    <w:rsid w:val="00C36830"/>
    <w:rsid w:val="00C5159F"/>
    <w:rsid w:val="00C51645"/>
    <w:rsid w:val="00C577D8"/>
    <w:rsid w:val="00C71D7E"/>
    <w:rsid w:val="00C7435B"/>
    <w:rsid w:val="00C93A06"/>
    <w:rsid w:val="00C97B80"/>
    <w:rsid w:val="00CA58DF"/>
    <w:rsid w:val="00CB361F"/>
    <w:rsid w:val="00CC2C30"/>
    <w:rsid w:val="00CD053F"/>
    <w:rsid w:val="00CD4F07"/>
    <w:rsid w:val="00CD6AE0"/>
    <w:rsid w:val="00CE5F43"/>
    <w:rsid w:val="00CF1960"/>
    <w:rsid w:val="00CF3306"/>
    <w:rsid w:val="00CF7C4C"/>
    <w:rsid w:val="00CF7EDD"/>
    <w:rsid w:val="00D3168A"/>
    <w:rsid w:val="00D443AF"/>
    <w:rsid w:val="00D477DC"/>
    <w:rsid w:val="00D5395F"/>
    <w:rsid w:val="00D620F9"/>
    <w:rsid w:val="00D7631A"/>
    <w:rsid w:val="00DA414F"/>
    <w:rsid w:val="00DA5748"/>
    <w:rsid w:val="00DB17FF"/>
    <w:rsid w:val="00DB6AE1"/>
    <w:rsid w:val="00DC654E"/>
    <w:rsid w:val="00DD15A5"/>
    <w:rsid w:val="00DD3B38"/>
    <w:rsid w:val="00DE57A1"/>
    <w:rsid w:val="00DF04EB"/>
    <w:rsid w:val="00DF4C52"/>
    <w:rsid w:val="00DF6059"/>
    <w:rsid w:val="00DF76A9"/>
    <w:rsid w:val="00E01DAC"/>
    <w:rsid w:val="00E16623"/>
    <w:rsid w:val="00E32341"/>
    <w:rsid w:val="00E327A3"/>
    <w:rsid w:val="00E34199"/>
    <w:rsid w:val="00E44A34"/>
    <w:rsid w:val="00E649B5"/>
    <w:rsid w:val="00E66665"/>
    <w:rsid w:val="00E71E21"/>
    <w:rsid w:val="00E72190"/>
    <w:rsid w:val="00E75E22"/>
    <w:rsid w:val="00E9025D"/>
    <w:rsid w:val="00E90F36"/>
    <w:rsid w:val="00E97498"/>
    <w:rsid w:val="00E97BDD"/>
    <w:rsid w:val="00EB54C6"/>
    <w:rsid w:val="00EC7B49"/>
    <w:rsid w:val="00ED0AB6"/>
    <w:rsid w:val="00ED0F42"/>
    <w:rsid w:val="00ED600C"/>
    <w:rsid w:val="00ED6E02"/>
    <w:rsid w:val="00EF5725"/>
    <w:rsid w:val="00F0709E"/>
    <w:rsid w:val="00F24510"/>
    <w:rsid w:val="00F26F4A"/>
    <w:rsid w:val="00F271A3"/>
    <w:rsid w:val="00F3451D"/>
    <w:rsid w:val="00F45481"/>
    <w:rsid w:val="00F468DE"/>
    <w:rsid w:val="00F53242"/>
    <w:rsid w:val="00F535C3"/>
    <w:rsid w:val="00F57565"/>
    <w:rsid w:val="00F66236"/>
    <w:rsid w:val="00F72A1C"/>
    <w:rsid w:val="00F80285"/>
    <w:rsid w:val="00F90DE7"/>
    <w:rsid w:val="00F9673F"/>
    <w:rsid w:val="00F97C51"/>
    <w:rsid w:val="00FA02D4"/>
    <w:rsid w:val="00FB3553"/>
    <w:rsid w:val="00FB35AC"/>
    <w:rsid w:val="00FD251B"/>
    <w:rsid w:val="00FD7556"/>
    <w:rsid w:val="00FE6892"/>
    <w:rsid w:val="00FE721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sid w:val="00152055"/>
    <w:rPr>
      <w:rFonts w:ascii="Tahoma" w:hAnsi="Tahoma" w:cs="Tahoma"/>
      <w:sz w:val="16"/>
      <w:szCs w:val="16"/>
      <w:lang w:eastAsia="en-US"/>
    </w:rPr>
  </w:style>
  <w:style w:type="paragraph" w:styleId="BalloonText">
    <w:name w:val="Balloon Text"/>
    <w:basedOn w:val="Normal"/>
    <w:link w:val="BalloonTextChar"/>
    <w:uiPriority w:val="99"/>
    <w:semiHidden/>
    <w:rsid w:val="00152055"/>
    <w:rPr>
      <w:rFonts w:ascii="Tahoma" w:hAnsi="Tahoma"/>
      <w:sz w:val="16"/>
      <w:szCs w:val="16"/>
      <w:lang w:val="x-none"/>
    </w:rPr>
  </w:style>
  <w:style w:type="paragraph" w:styleId="Header">
    <w:name w:val="header"/>
    <w:basedOn w:val="Normal"/>
    <w:link w:val="HeaderChar"/>
    <w:uiPriority w:val="99"/>
    <w:rsid w:val="00152055"/>
    <w:pPr>
      <w:tabs>
        <w:tab w:val="center" w:pos="4153"/>
        <w:tab w:val="right" w:pos="8306"/>
      </w:tabs>
    </w:pPr>
    <w:rPr>
      <w:sz w:val="28"/>
      <w:lang w:val="x-none"/>
    </w:rPr>
  </w:style>
  <w:style w:type="character" w:customStyle="1" w:styleId="HeaderChar">
    <w:name w:val="Header Char"/>
    <w:link w:val="Header"/>
    <w:uiPriority w:val="99"/>
    <w:rsid w:val="00152055"/>
    <w:rPr>
      <w:sz w:val="28"/>
      <w:szCs w:val="22"/>
      <w:lang w:eastAsia="en-US"/>
    </w:rPr>
  </w:style>
  <w:style w:type="paragraph" w:styleId="Footer">
    <w:name w:val="footer"/>
    <w:basedOn w:val="Normal"/>
    <w:link w:val="FooterChar"/>
    <w:uiPriority w:val="99"/>
    <w:rsid w:val="00152055"/>
    <w:pPr>
      <w:tabs>
        <w:tab w:val="center" w:pos="4153"/>
        <w:tab w:val="right" w:pos="8306"/>
      </w:tabs>
    </w:pPr>
    <w:rPr>
      <w:sz w:val="28"/>
      <w:lang w:val="x-none"/>
    </w:rPr>
  </w:style>
  <w:style w:type="character" w:customStyle="1" w:styleId="FooterChar">
    <w:name w:val="Footer Char"/>
    <w:link w:val="Footer"/>
    <w:uiPriority w:val="99"/>
    <w:rsid w:val="00152055"/>
    <w:rPr>
      <w:sz w:val="28"/>
      <w:szCs w:val="22"/>
      <w:lang w:eastAsia="en-US"/>
    </w:rPr>
  </w:style>
  <w:style w:type="character" w:styleId="Hyperlink">
    <w:name w:val="Hyperlink"/>
    <w:unhideWhenUsed/>
    <w:rsid w:val="00152055"/>
    <w:rPr>
      <w:color w:val="0000FF"/>
      <w:u w:val="single"/>
    </w:rPr>
  </w:style>
  <w:style w:type="character" w:styleId="HTMLKeyboard">
    <w:name w:val="HTML Keyboard"/>
    <w:unhideWhenUsed/>
    <w:rsid w:val="00152055"/>
    <w:rPr>
      <w:rFonts w:ascii="Courier New" w:eastAsia="Arial Unicode MS" w:hAnsi="Courier New" w:cs="Arial Unicode MS" w:hint="default"/>
      <w:color w:val="000000"/>
      <w:sz w:val="18"/>
      <w:szCs w:val="18"/>
    </w:rPr>
  </w:style>
  <w:style w:type="paragraph" w:styleId="ListParagraph">
    <w:name w:val="List Paragraph"/>
    <w:basedOn w:val="Normal"/>
    <w:uiPriority w:val="34"/>
    <w:qFormat/>
    <w:rsid w:val="00152055"/>
    <w:pPr>
      <w:ind w:left="720"/>
      <w:contextualSpacing/>
    </w:pPr>
    <w:rPr>
      <w:sz w:val="28"/>
    </w:rPr>
  </w:style>
  <w:style w:type="paragraph" w:styleId="NormalWeb">
    <w:name w:val="Normal (Web)"/>
    <w:basedOn w:val="Normal"/>
    <w:uiPriority w:val="99"/>
    <w:unhideWhenUsed/>
    <w:rsid w:val="00A1273C"/>
    <w:pPr>
      <w:spacing w:before="100" w:beforeAutospacing="1" w:after="100" w:afterAutospacing="1" w:line="240" w:lineRule="auto"/>
    </w:pPr>
    <w:rPr>
      <w:rFonts w:ascii="Times New Roman" w:hAnsi="Times New Roman"/>
      <w:sz w:val="24"/>
      <w:szCs w:val="24"/>
      <w:lang w:eastAsia="en-GB"/>
    </w:rPr>
  </w:style>
  <w:style w:type="character" w:customStyle="1" w:styleId="br">
    <w:name w:val="br"/>
    <w:basedOn w:val="DefaultParagraphFont"/>
    <w:rsid w:val="003A1E5E"/>
  </w:style>
  <w:style w:type="character" w:customStyle="1" w:styleId="ar">
    <w:name w:val="ar"/>
    <w:basedOn w:val="DefaultParagraphFont"/>
    <w:rsid w:val="003A1E5E"/>
  </w:style>
  <w:style w:type="paragraph" w:styleId="Revision">
    <w:name w:val="Revision"/>
    <w:hidden/>
    <w:uiPriority w:val="99"/>
    <w:semiHidden/>
    <w:rsid w:val="003A1E5E"/>
    <w:rPr>
      <w:sz w:val="28"/>
      <w:szCs w:val="22"/>
      <w:lang w:eastAsia="en-US"/>
    </w:rPr>
  </w:style>
  <w:style w:type="paragraph" w:styleId="HTMLPreformatted">
    <w:name w:val="HTML Preformatted"/>
    <w:basedOn w:val="Normal"/>
    <w:link w:val="HTMLPreformattedChar"/>
    <w:unhideWhenUsed/>
    <w:rsid w:val="00F5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uiPriority w:val="99"/>
    <w:rsid w:val="00F53242"/>
    <w:rPr>
      <w:rFonts w:ascii="Courier New" w:eastAsia="Times New Roman" w:hAnsi="Courier New"/>
      <w:lang w:val="en-US" w:eastAsia="en-US"/>
    </w:rPr>
  </w:style>
  <w:style w:type="table" w:styleId="TableGrid">
    <w:name w:val="Table Grid"/>
    <w:basedOn w:val="TableNormal"/>
    <w:uiPriority w:val="59"/>
    <w:rsid w:val="00F532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53242"/>
    <w:rPr>
      <w:sz w:val="18"/>
      <w:szCs w:val="18"/>
    </w:rPr>
  </w:style>
  <w:style w:type="paragraph" w:styleId="CommentText">
    <w:name w:val="annotation text"/>
    <w:basedOn w:val="Normal"/>
    <w:link w:val="CommentTextChar"/>
    <w:uiPriority w:val="99"/>
    <w:semiHidden/>
    <w:unhideWhenUsed/>
    <w:rsid w:val="00F53242"/>
    <w:pPr>
      <w:spacing w:after="0" w:line="240" w:lineRule="auto"/>
    </w:pPr>
    <w:rPr>
      <w:rFonts w:ascii="Cambria" w:eastAsia="Times New Roman" w:hAnsi="Cambria"/>
      <w:sz w:val="24"/>
      <w:szCs w:val="24"/>
      <w:lang w:val="en-US"/>
    </w:rPr>
  </w:style>
  <w:style w:type="character" w:customStyle="1" w:styleId="CommentTextChar">
    <w:name w:val="Comment Text Char"/>
    <w:basedOn w:val="DefaultParagraphFont"/>
    <w:link w:val="CommentText"/>
    <w:uiPriority w:val="99"/>
    <w:semiHidden/>
    <w:rsid w:val="00F53242"/>
    <w:rPr>
      <w:rFonts w:ascii="Cambria" w:eastAsia="Times New Roman" w:hAnsi="Cambria"/>
      <w:sz w:val="24"/>
      <w:szCs w:val="24"/>
      <w:lang w:val="en-US" w:eastAsia="en-US"/>
    </w:rPr>
  </w:style>
  <w:style w:type="paragraph" w:styleId="BodyText">
    <w:name w:val="Body Text"/>
    <w:basedOn w:val="Normal"/>
    <w:link w:val="BodyTextChar"/>
    <w:uiPriority w:val="1"/>
    <w:qFormat/>
    <w:rsid w:val="00C15E0A"/>
    <w:pPr>
      <w:widowControl w:val="0"/>
      <w:spacing w:before="86" w:after="0" w:line="240" w:lineRule="auto"/>
      <w:ind w:left="667"/>
    </w:pPr>
    <w:rPr>
      <w:rFonts w:ascii="Arial" w:eastAsia="Arial" w:hAnsi="Arial"/>
      <w:sz w:val="16"/>
      <w:szCs w:val="16"/>
      <w:lang w:val="en-US"/>
    </w:rPr>
  </w:style>
  <w:style w:type="character" w:customStyle="1" w:styleId="BodyTextChar">
    <w:name w:val="Body Text Char"/>
    <w:basedOn w:val="DefaultParagraphFont"/>
    <w:link w:val="BodyText"/>
    <w:uiPriority w:val="1"/>
    <w:rsid w:val="00C15E0A"/>
    <w:rPr>
      <w:rFonts w:ascii="Arial" w:eastAsia="Arial" w:hAnsi="Arial"/>
      <w:sz w:val="16"/>
      <w:szCs w:val="16"/>
      <w:lang w:val="en-US" w:eastAsia="en-US"/>
    </w:rPr>
  </w:style>
  <w:style w:type="paragraph" w:customStyle="1" w:styleId="TableParagraph">
    <w:name w:val="Table Paragraph"/>
    <w:basedOn w:val="Normal"/>
    <w:uiPriority w:val="1"/>
    <w:qFormat/>
    <w:rsid w:val="00C15E0A"/>
    <w:pPr>
      <w:widowControl w:val="0"/>
      <w:spacing w:after="0" w:line="240" w:lineRule="auto"/>
    </w:pPr>
    <w:rPr>
      <w:lang w:val="en-US"/>
    </w:rPr>
  </w:style>
  <w:style w:type="paragraph" w:customStyle="1" w:styleId="Pa24">
    <w:name w:val="Pa24"/>
    <w:basedOn w:val="Normal"/>
    <w:next w:val="Normal"/>
    <w:uiPriority w:val="99"/>
    <w:rsid w:val="007B4511"/>
    <w:pPr>
      <w:autoSpaceDE w:val="0"/>
      <w:autoSpaceDN w:val="0"/>
      <w:adjustRightInd w:val="0"/>
      <w:spacing w:after="0" w:line="241" w:lineRule="atLeast"/>
    </w:pPr>
    <w:rPr>
      <w:rFonts w:ascii="Frutiger 45 Light" w:hAnsi="Frutiger 45 Light" w:cs="Arial"/>
      <w:sz w:val="24"/>
      <w:szCs w:val="24"/>
      <w:lang w:eastAsia="en-GB"/>
    </w:rPr>
  </w:style>
  <w:style w:type="paragraph" w:styleId="BodyTextIndent">
    <w:name w:val="Body Text Indent"/>
    <w:basedOn w:val="Normal"/>
    <w:link w:val="BodyTextIndentChar1"/>
    <w:rsid w:val="0072256B"/>
    <w:pPr>
      <w:spacing w:after="0" w:line="240" w:lineRule="auto"/>
      <w:ind w:left="-720"/>
    </w:pPr>
    <w:rPr>
      <w:rFonts w:ascii="Tahoma" w:eastAsia="Times New Roman" w:hAnsi="Tahoma"/>
      <w:sz w:val="20"/>
      <w:szCs w:val="20"/>
    </w:rPr>
  </w:style>
  <w:style w:type="character" w:customStyle="1" w:styleId="BodyTextIndentChar">
    <w:name w:val="Body Text Indent Char"/>
    <w:basedOn w:val="DefaultParagraphFont"/>
    <w:uiPriority w:val="99"/>
    <w:semiHidden/>
    <w:rsid w:val="0072256B"/>
    <w:rPr>
      <w:sz w:val="22"/>
      <w:szCs w:val="22"/>
      <w:lang w:eastAsia="en-US"/>
    </w:rPr>
  </w:style>
  <w:style w:type="character" w:customStyle="1" w:styleId="BodyTextIndentChar1">
    <w:name w:val="Body Text Indent Char1"/>
    <w:link w:val="BodyTextIndent"/>
    <w:locked/>
    <w:rsid w:val="0072256B"/>
    <w:rPr>
      <w:rFonts w:ascii="Tahoma" w:eastAsia="Times New Roman" w:hAnsi="Tahoma"/>
      <w:lang w:eastAsia="en-US"/>
    </w:rPr>
  </w:style>
  <w:style w:type="paragraph" w:styleId="CommentSubject">
    <w:name w:val="annotation subject"/>
    <w:basedOn w:val="CommentText"/>
    <w:next w:val="CommentText"/>
    <w:link w:val="CommentSubjectChar"/>
    <w:uiPriority w:val="99"/>
    <w:semiHidden/>
    <w:unhideWhenUsed/>
    <w:rsid w:val="0072256B"/>
    <w:rPr>
      <w:b/>
      <w:bCs/>
      <w:sz w:val="20"/>
      <w:szCs w:val="20"/>
    </w:rPr>
  </w:style>
  <w:style w:type="character" w:customStyle="1" w:styleId="CommentSubjectChar">
    <w:name w:val="Comment Subject Char"/>
    <w:basedOn w:val="CommentTextChar"/>
    <w:link w:val="CommentSubject"/>
    <w:uiPriority w:val="99"/>
    <w:semiHidden/>
    <w:rsid w:val="0072256B"/>
    <w:rPr>
      <w:rFonts w:ascii="Cambria" w:eastAsia="Times New Roman" w:hAnsi="Cambria"/>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sid w:val="00152055"/>
    <w:rPr>
      <w:rFonts w:ascii="Tahoma" w:hAnsi="Tahoma" w:cs="Tahoma"/>
      <w:sz w:val="16"/>
      <w:szCs w:val="16"/>
      <w:lang w:eastAsia="en-US"/>
    </w:rPr>
  </w:style>
  <w:style w:type="paragraph" w:styleId="BalloonText">
    <w:name w:val="Balloon Text"/>
    <w:basedOn w:val="Normal"/>
    <w:link w:val="BalloonTextChar"/>
    <w:uiPriority w:val="99"/>
    <w:semiHidden/>
    <w:rsid w:val="00152055"/>
    <w:rPr>
      <w:rFonts w:ascii="Tahoma" w:hAnsi="Tahoma"/>
      <w:sz w:val="16"/>
      <w:szCs w:val="16"/>
      <w:lang w:val="x-none"/>
    </w:rPr>
  </w:style>
  <w:style w:type="paragraph" w:styleId="Header">
    <w:name w:val="header"/>
    <w:basedOn w:val="Normal"/>
    <w:link w:val="HeaderChar"/>
    <w:uiPriority w:val="99"/>
    <w:rsid w:val="00152055"/>
    <w:pPr>
      <w:tabs>
        <w:tab w:val="center" w:pos="4153"/>
        <w:tab w:val="right" w:pos="8306"/>
      </w:tabs>
    </w:pPr>
    <w:rPr>
      <w:sz w:val="28"/>
      <w:lang w:val="x-none"/>
    </w:rPr>
  </w:style>
  <w:style w:type="character" w:customStyle="1" w:styleId="HeaderChar">
    <w:name w:val="Header Char"/>
    <w:link w:val="Header"/>
    <w:uiPriority w:val="99"/>
    <w:rsid w:val="00152055"/>
    <w:rPr>
      <w:sz w:val="28"/>
      <w:szCs w:val="22"/>
      <w:lang w:eastAsia="en-US"/>
    </w:rPr>
  </w:style>
  <w:style w:type="paragraph" w:styleId="Footer">
    <w:name w:val="footer"/>
    <w:basedOn w:val="Normal"/>
    <w:link w:val="FooterChar"/>
    <w:uiPriority w:val="99"/>
    <w:rsid w:val="00152055"/>
    <w:pPr>
      <w:tabs>
        <w:tab w:val="center" w:pos="4153"/>
        <w:tab w:val="right" w:pos="8306"/>
      </w:tabs>
    </w:pPr>
    <w:rPr>
      <w:sz w:val="28"/>
      <w:lang w:val="x-none"/>
    </w:rPr>
  </w:style>
  <w:style w:type="character" w:customStyle="1" w:styleId="FooterChar">
    <w:name w:val="Footer Char"/>
    <w:link w:val="Footer"/>
    <w:uiPriority w:val="99"/>
    <w:rsid w:val="00152055"/>
    <w:rPr>
      <w:sz w:val="28"/>
      <w:szCs w:val="22"/>
      <w:lang w:eastAsia="en-US"/>
    </w:rPr>
  </w:style>
  <w:style w:type="character" w:styleId="Hyperlink">
    <w:name w:val="Hyperlink"/>
    <w:unhideWhenUsed/>
    <w:rsid w:val="00152055"/>
    <w:rPr>
      <w:color w:val="0000FF"/>
      <w:u w:val="single"/>
    </w:rPr>
  </w:style>
  <w:style w:type="character" w:styleId="HTMLKeyboard">
    <w:name w:val="HTML Keyboard"/>
    <w:unhideWhenUsed/>
    <w:rsid w:val="00152055"/>
    <w:rPr>
      <w:rFonts w:ascii="Courier New" w:eastAsia="Arial Unicode MS" w:hAnsi="Courier New" w:cs="Arial Unicode MS" w:hint="default"/>
      <w:color w:val="000000"/>
      <w:sz w:val="18"/>
      <w:szCs w:val="18"/>
    </w:rPr>
  </w:style>
  <w:style w:type="paragraph" w:styleId="ListParagraph">
    <w:name w:val="List Paragraph"/>
    <w:basedOn w:val="Normal"/>
    <w:uiPriority w:val="34"/>
    <w:qFormat/>
    <w:rsid w:val="00152055"/>
    <w:pPr>
      <w:ind w:left="720"/>
      <w:contextualSpacing/>
    </w:pPr>
    <w:rPr>
      <w:sz w:val="28"/>
    </w:rPr>
  </w:style>
  <w:style w:type="paragraph" w:styleId="NormalWeb">
    <w:name w:val="Normal (Web)"/>
    <w:basedOn w:val="Normal"/>
    <w:uiPriority w:val="99"/>
    <w:unhideWhenUsed/>
    <w:rsid w:val="00A1273C"/>
    <w:pPr>
      <w:spacing w:before="100" w:beforeAutospacing="1" w:after="100" w:afterAutospacing="1" w:line="240" w:lineRule="auto"/>
    </w:pPr>
    <w:rPr>
      <w:rFonts w:ascii="Times New Roman" w:hAnsi="Times New Roman"/>
      <w:sz w:val="24"/>
      <w:szCs w:val="24"/>
      <w:lang w:eastAsia="en-GB"/>
    </w:rPr>
  </w:style>
  <w:style w:type="character" w:customStyle="1" w:styleId="br">
    <w:name w:val="br"/>
    <w:basedOn w:val="DefaultParagraphFont"/>
    <w:rsid w:val="003A1E5E"/>
  </w:style>
  <w:style w:type="character" w:customStyle="1" w:styleId="ar">
    <w:name w:val="ar"/>
    <w:basedOn w:val="DefaultParagraphFont"/>
    <w:rsid w:val="003A1E5E"/>
  </w:style>
  <w:style w:type="paragraph" w:styleId="Revision">
    <w:name w:val="Revision"/>
    <w:hidden/>
    <w:uiPriority w:val="99"/>
    <w:semiHidden/>
    <w:rsid w:val="003A1E5E"/>
    <w:rPr>
      <w:sz w:val="28"/>
      <w:szCs w:val="22"/>
      <w:lang w:eastAsia="en-US"/>
    </w:rPr>
  </w:style>
  <w:style w:type="paragraph" w:styleId="HTMLPreformatted">
    <w:name w:val="HTML Preformatted"/>
    <w:basedOn w:val="Normal"/>
    <w:link w:val="HTMLPreformattedChar"/>
    <w:unhideWhenUsed/>
    <w:rsid w:val="00F5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uiPriority w:val="99"/>
    <w:rsid w:val="00F53242"/>
    <w:rPr>
      <w:rFonts w:ascii="Courier New" w:eastAsia="Times New Roman" w:hAnsi="Courier New"/>
      <w:lang w:val="en-US" w:eastAsia="en-US"/>
    </w:rPr>
  </w:style>
  <w:style w:type="table" w:styleId="TableGrid">
    <w:name w:val="Table Grid"/>
    <w:basedOn w:val="TableNormal"/>
    <w:uiPriority w:val="59"/>
    <w:rsid w:val="00F532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53242"/>
    <w:rPr>
      <w:sz w:val="18"/>
      <w:szCs w:val="18"/>
    </w:rPr>
  </w:style>
  <w:style w:type="paragraph" w:styleId="CommentText">
    <w:name w:val="annotation text"/>
    <w:basedOn w:val="Normal"/>
    <w:link w:val="CommentTextChar"/>
    <w:uiPriority w:val="99"/>
    <w:semiHidden/>
    <w:unhideWhenUsed/>
    <w:rsid w:val="00F53242"/>
    <w:pPr>
      <w:spacing w:after="0" w:line="240" w:lineRule="auto"/>
    </w:pPr>
    <w:rPr>
      <w:rFonts w:ascii="Cambria" w:eastAsia="Times New Roman" w:hAnsi="Cambria"/>
      <w:sz w:val="24"/>
      <w:szCs w:val="24"/>
      <w:lang w:val="en-US"/>
    </w:rPr>
  </w:style>
  <w:style w:type="character" w:customStyle="1" w:styleId="CommentTextChar">
    <w:name w:val="Comment Text Char"/>
    <w:basedOn w:val="DefaultParagraphFont"/>
    <w:link w:val="CommentText"/>
    <w:uiPriority w:val="99"/>
    <w:semiHidden/>
    <w:rsid w:val="00F53242"/>
    <w:rPr>
      <w:rFonts w:ascii="Cambria" w:eastAsia="Times New Roman" w:hAnsi="Cambria"/>
      <w:sz w:val="24"/>
      <w:szCs w:val="24"/>
      <w:lang w:val="en-US" w:eastAsia="en-US"/>
    </w:rPr>
  </w:style>
  <w:style w:type="paragraph" w:styleId="BodyText">
    <w:name w:val="Body Text"/>
    <w:basedOn w:val="Normal"/>
    <w:link w:val="BodyTextChar"/>
    <w:uiPriority w:val="1"/>
    <w:qFormat/>
    <w:rsid w:val="00C15E0A"/>
    <w:pPr>
      <w:widowControl w:val="0"/>
      <w:spacing w:before="86" w:after="0" w:line="240" w:lineRule="auto"/>
      <w:ind w:left="667"/>
    </w:pPr>
    <w:rPr>
      <w:rFonts w:ascii="Arial" w:eastAsia="Arial" w:hAnsi="Arial"/>
      <w:sz w:val="16"/>
      <w:szCs w:val="16"/>
      <w:lang w:val="en-US"/>
    </w:rPr>
  </w:style>
  <w:style w:type="character" w:customStyle="1" w:styleId="BodyTextChar">
    <w:name w:val="Body Text Char"/>
    <w:basedOn w:val="DefaultParagraphFont"/>
    <w:link w:val="BodyText"/>
    <w:uiPriority w:val="1"/>
    <w:rsid w:val="00C15E0A"/>
    <w:rPr>
      <w:rFonts w:ascii="Arial" w:eastAsia="Arial" w:hAnsi="Arial"/>
      <w:sz w:val="16"/>
      <w:szCs w:val="16"/>
      <w:lang w:val="en-US" w:eastAsia="en-US"/>
    </w:rPr>
  </w:style>
  <w:style w:type="paragraph" w:customStyle="1" w:styleId="TableParagraph">
    <w:name w:val="Table Paragraph"/>
    <w:basedOn w:val="Normal"/>
    <w:uiPriority w:val="1"/>
    <w:qFormat/>
    <w:rsid w:val="00C15E0A"/>
    <w:pPr>
      <w:widowControl w:val="0"/>
      <w:spacing w:after="0" w:line="240" w:lineRule="auto"/>
    </w:pPr>
    <w:rPr>
      <w:lang w:val="en-US"/>
    </w:rPr>
  </w:style>
  <w:style w:type="paragraph" w:customStyle="1" w:styleId="Pa24">
    <w:name w:val="Pa24"/>
    <w:basedOn w:val="Normal"/>
    <w:next w:val="Normal"/>
    <w:uiPriority w:val="99"/>
    <w:rsid w:val="007B4511"/>
    <w:pPr>
      <w:autoSpaceDE w:val="0"/>
      <w:autoSpaceDN w:val="0"/>
      <w:adjustRightInd w:val="0"/>
      <w:spacing w:after="0" w:line="241" w:lineRule="atLeast"/>
    </w:pPr>
    <w:rPr>
      <w:rFonts w:ascii="Frutiger 45 Light" w:hAnsi="Frutiger 45 Light" w:cs="Arial"/>
      <w:sz w:val="24"/>
      <w:szCs w:val="24"/>
      <w:lang w:eastAsia="en-GB"/>
    </w:rPr>
  </w:style>
  <w:style w:type="paragraph" w:styleId="BodyTextIndent">
    <w:name w:val="Body Text Indent"/>
    <w:basedOn w:val="Normal"/>
    <w:link w:val="BodyTextIndentChar1"/>
    <w:rsid w:val="0072256B"/>
    <w:pPr>
      <w:spacing w:after="0" w:line="240" w:lineRule="auto"/>
      <w:ind w:left="-720"/>
    </w:pPr>
    <w:rPr>
      <w:rFonts w:ascii="Tahoma" w:eastAsia="Times New Roman" w:hAnsi="Tahoma"/>
      <w:sz w:val="20"/>
      <w:szCs w:val="20"/>
    </w:rPr>
  </w:style>
  <w:style w:type="character" w:customStyle="1" w:styleId="BodyTextIndentChar">
    <w:name w:val="Body Text Indent Char"/>
    <w:basedOn w:val="DefaultParagraphFont"/>
    <w:uiPriority w:val="99"/>
    <w:semiHidden/>
    <w:rsid w:val="0072256B"/>
    <w:rPr>
      <w:sz w:val="22"/>
      <w:szCs w:val="22"/>
      <w:lang w:eastAsia="en-US"/>
    </w:rPr>
  </w:style>
  <w:style w:type="character" w:customStyle="1" w:styleId="BodyTextIndentChar1">
    <w:name w:val="Body Text Indent Char1"/>
    <w:link w:val="BodyTextIndent"/>
    <w:locked/>
    <w:rsid w:val="0072256B"/>
    <w:rPr>
      <w:rFonts w:ascii="Tahoma" w:eastAsia="Times New Roman" w:hAnsi="Tahoma"/>
      <w:lang w:eastAsia="en-US"/>
    </w:rPr>
  </w:style>
  <w:style w:type="paragraph" w:styleId="CommentSubject">
    <w:name w:val="annotation subject"/>
    <w:basedOn w:val="CommentText"/>
    <w:next w:val="CommentText"/>
    <w:link w:val="CommentSubjectChar"/>
    <w:uiPriority w:val="99"/>
    <w:semiHidden/>
    <w:unhideWhenUsed/>
    <w:rsid w:val="0072256B"/>
    <w:rPr>
      <w:b/>
      <w:bCs/>
      <w:sz w:val="20"/>
      <w:szCs w:val="20"/>
    </w:rPr>
  </w:style>
  <w:style w:type="character" w:customStyle="1" w:styleId="CommentSubjectChar">
    <w:name w:val="Comment Subject Char"/>
    <w:basedOn w:val="CommentTextChar"/>
    <w:link w:val="CommentSubject"/>
    <w:uiPriority w:val="99"/>
    <w:semiHidden/>
    <w:rsid w:val="0072256B"/>
    <w:rPr>
      <w:rFonts w:ascii="Cambria" w:eastAsia="Times New Roman" w:hAnsi="Cambria"/>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7396">
      <w:bodyDiv w:val="1"/>
      <w:marLeft w:val="0"/>
      <w:marRight w:val="0"/>
      <w:marTop w:val="0"/>
      <w:marBottom w:val="0"/>
      <w:divBdr>
        <w:top w:val="none" w:sz="0" w:space="0" w:color="auto"/>
        <w:left w:val="none" w:sz="0" w:space="0" w:color="auto"/>
        <w:bottom w:val="none" w:sz="0" w:space="0" w:color="auto"/>
        <w:right w:val="none" w:sz="0" w:space="0" w:color="auto"/>
      </w:divBdr>
    </w:div>
    <w:div w:id="469329251">
      <w:bodyDiv w:val="1"/>
      <w:marLeft w:val="0"/>
      <w:marRight w:val="0"/>
      <w:marTop w:val="0"/>
      <w:marBottom w:val="0"/>
      <w:divBdr>
        <w:top w:val="none" w:sz="0" w:space="0" w:color="auto"/>
        <w:left w:val="none" w:sz="0" w:space="0" w:color="auto"/>
        <w:bottom w:val="none" w:sz="0" w:space="0" w:color="auto"/>
        <w:right w:val="none" w:sz="0" w:space="0" w:color="auto"/>
      </w:divBdr>
    </w:div>
    <w:div w:id="8886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B25F-DC96-407C-A9FE-0DECC86D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8348</Words>
  <Characters>47588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Draft 15 June</vt:lpstr>
    </vt:vector>
  </TitlesOfParts>
  <Company>Financial Dynamics</Company>
  <LinksUpToDate>false</LinksUpToDate>
  <CharactersWithSpaces>55825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15 June</dc:title>
  <dc:creator>Laura Vaughan</dc:creator>
  <cp:lastModifiedBy>Power, Stephanie</cp:lastModifiedBy>
  <cp:revision>5</cp:revision>
  <cp:lastPrinted>2014-06-06T16:05:00Z</cp:lastPrinted>
  <dcterms:created xsi:type="dcterms:W3CDTF">2014-06-06T16:05:00Z</dcterms:created>
  <dcterms:modified xsi:type="dcterms:W3CDTF">2014-06-06T16:15:00Z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000800cc06000000000001024140</vt:lpwstr>
  </property>
</Properties>
</file>